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0667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06679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246"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Lorber David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445 PARK AVENUE, 10TH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PhenixFIN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PFX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06/01/2026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05"/>
        <w:spacing w:after="0"/>
        <w:rPr>
          <w:sz w:val="20"/>
          <w:szCs w:val="20"/>
          <w:color w:val="auto"/>
        </w:rPr>
      </w:pPr>
      <w:r>
        <w:rPr>
          <w:rFonts w:ascii="Times New Roman" w:cs="Times New Roman" w:eastAsia="Times New Roman" w:hAnsi="Times New Roman"/>
          <w:sz w:val="17"/>
          <w:szCs w:val="17"/>
          <w:color w:val="0000FF"/>
        </w:rPr>
        <w:t>CHAIRMAN AND CEO</w:t>
      </w:r>
    </w:p>
    <w:p>
      <w:pPr>
        <w:spacing w:after="0" w:line="279" w:lineRule="exact"/>
        <w:rPr>
          <w:sz w:val="24"/>
          <w:szCs w:val="24"/>
          <w:color w:val="auto"/>
        </w:rPr>
      </w:pPr>
    </w:p>
    <w:p>
      <w:pPr>
        <w:sectPr>
          <w:pgSz w:w="11900" w:h="16838" w:orient="portrait"/>
          <w:cols w:equalWidth="0" w:num="3">
            <w:col w:w="3200" w:space="720"/>
            <w:col w:w="3095" w:space="720"/>
            <w:col w:w="3345"/>
          </w:cols>
          <w:pgMar w:left="460" w:top="219" w:right="359" w:bottom="246" w:gutter="0" w:footer="0" w:header="0"/>
          <w:type w:val="continuous"/>
        </w:sectPr>
      </w:pP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560" w:type="dxa"/>
            <w:vAlign w:val="bottom"/>
            <w:shd w:val="clear" w:color="auto" w:fill="9A9A9A"/>
          </w:tcPr>
          <w:p>
            <w:pPr>
              <w:spacing w:after="0"/>
              <w:rPr>
                <w:sz w:val="2"/>
                <w:szCs w:val="2"/>
                <w:color w:val="auto"/>
              </w:rPr>
            </w:pPr>
          </w:p>
        </w:tc>
        <w:tc>
          <w:tcPr>
            <w:tcW w:w="300" w:type="dxa"/>
            <w:vAlign w:val="bottom"/>
            <w:shd w:val="clear" w:color="auto" w:fill="9A9A9A"/>
          </w:tcPr>
          <w:p>
            <w:pPr>
              <w:spacing w:after="0"/>
              <w:rPr>
                <w:sz w:val="2"/>
                <w:szCs w:val="2"/>
                <w:color w:val="auto"/>
              </w:rPr>
            </w:pPr>
          </w:p>
        </w:tc>
        <w:tc>
          <w:tcPr>
            <w:tcW w:w="820" w:type="dxa"/>
            <w:vAlign w:val="bottom"/>
            <w:shd w:val="clear" w:color="auto" w:fill="9A9A9A"/>
          </w:tcPr>
          <w:p>
            <w:pPr>
              <w:spacing w:after="0"/>
              <w:rPr>
                <w:sz w:val="2"/>
                <w:szCs w:val="2"/>
                <w:color w:val="auto"/>
              </w:rPr>
            </w:pPr>
          </w:p>
        </w:tc>
        <w:tc>
          <w:tcPr>
            <w:tcW w:w="1340" w:type="dxa"/>
            <w:vAlign w:val="bottom"/>
            <w:shd w:val="clear" w:color="auto" w:fill="9A9A9A"/>
          </w:tcPr>
          <w:p>
            <w:pPr>
              <w:spacing w:after="0"/>
              <w:rPr>
                <w:sz w:val="2"/>
                <w:szCs w:val="2"/>
                <w:color w:val="auto"/>
              </w:rPr>
            </w:pPr>
          </w:p>
        </w:tc>
        <w:tc>
          <w:tcPr>
            <w:tcW w:w="20" w:type="dxa"/>
            <w:vAlign w:val="bottom"/>
            <w:vMerge w:val="restart"/>
          </w:tcPr>
          <w:p>
            <w:pPr>
              <w:spacing w:after="0"/>
              <w:rPr>
                <w:sz w:val="2"/>
                <w:szCs w:val="2"/>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vMerge w:val="continue"/>
          </w:tcPr>
          <w:p>
            <w:pPr>
              <w:spacing w:after="0"/>
              <w:rPr>
                <w:sz w:val="10"/>
                <w:szCs w:val="10"/>
                <w:color w:val="auto"/>
              </w:rPr>
            </w:pPr>
          </w:p>
        </w:tc>
        <w:tc>
          <w:tcPr>
            <w:tcW w:w="3540" w:type="dxa"/>
            <w:vAlign w:val="bottom"/>
            <w:gridSpan w:val="6"/>
            <w:vMerge w:val="continue"/>
          </w:tcPr>
          <w:p>
            <w:pPr>
              <w:spacing w:after="0"/>
              <w:rPr>
                <w:sz w:val="10"/>
                <w:szCs w:val="10"/>
                <w:color w:val="auto"/>
              </w:rPr>
            </w:pPr>
          </w:p>
        </w:tc>
        <w:tc>
          <w:tcPr>
            <w:tcW w:w="376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9"/>
                <w:szCs w:val="19"/>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10022</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Borders>
              <w:top w:val="single" w:sz="8" w:color="EEEEEE"/>
            </w:tcBorders>
          </w:tcPr>
          <w:p>
            <w:pPr>
              <w:spacing w:after="0"/>
              <w:rPr>
                <w:sz w:val="16"/>
                <w:szCs w:val="16"/>
                <w:color w:val="auto"/>
              </w:rPr>
            </w:pPr>
          </w:p>
        </w:tc>
        <w:tc>
          <w:tcPr>
            <w:tcW w:w="1120" w:type="dxa"/>
            <w:vAlign w:val="bottom"/>
            <w:tcBorders>
              <w:top w:val="single" w:sz="8" w:color="EEEEEE"/>
            </w:tcBorders>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Borders>
              <w:top w:val="single" w:sz="8" w:color="EEEEEE"/>
            </w:tcBorders>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3"/>
          </w:tcPr>
          <w:p>
            <w:pPr>
              <w:jc w:val="center"/>
              <w:ind w:left="605"/>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jc w:val="center"/>
              <w:ind w:left="1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80" w:type="dxa"/>
            <w:vAlign w:val="bottom"/>
            <w:tcBorders>
              <w:bottom w:val="single" w:sz="8" w:color="2C2C2C"/>
            </w:tcBorders>
            <w:gridSpan w:val="4"/>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5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Pr>
          <w:p>
            <w:pPr>
              <w:spacing w:after="0"/>
              <w:rPr>
                <w:sz w:val="23"/>
                <w:szCs w:val="23"/>
                <w:color w:val="auto"/>
              </w:rPr>
            </w:pPr>
          </w:p>
        </w:tc>
        <w:tc>
          <w:tcPr>
            <w:tcW w:w="1780" w:type="dxa"/>
            <w:vAlign w:val="bottom"/>
            <w:gridSpan w:val="3"/>
          </w:tcPr>
          <w:p>
            <w:pPr>
              <w:jc w:val="center"/>
              <w:ind w:left="585"/>
              <w:spacing w:after="0"/>
              <w:rPr>
                <w:sz w:val="20"/>
                <w:szCs w:val="20"/>
                <w:color w:val="auto"/>
              </w:rPr>
            </w:pPr>
            <w:r>
              <w:rPr>
                <w:rFonts w:ascii="Times New Roman" w:cs="Times New Roman" w:eastAsia="Times New Roman" w:hAnsi="Times New Roman"/>
                <w:sz w:val="17"/>
                <w:szCs w:val="17"/>
                <w:color w:val="0000FF"/>
              </w:rPr>
              <w:t>06/01/2026</w:t>
            </w:r>
          </w:p>
        </w:tc>
        <w:tc>
          <w:tcPr>
            <w:tcW w:w="4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0" w:type="dxa"/>
            <w:vAlign w:val="bottom"/>
          </w:tcPr>
          <w:p>
            <w:pPr>
              <w:jc w:val="center"/>
              <w:ind w:right="278"/>
              <w:spacing w:after="0"/>
              <w:rPr>
                <w:sz w:val="20"/>
                <w:szCs w:val="20"/>
                <w:color w:val="auto"/>
              </w:rPr>
            </w:pPr>
            <w:r>
              <w:rPr>
                <w:rFonts w:ascii="Times New Roman" w:cs="Times New Roman" w:eastAsia="Times New Roman" w:hAnsi="Times New Roman"/>
                <w:sz w:val="13"/>
                <w:szCs w:val="13"/>
                <w:color w:val="0000FF"/>
                <w:w w:val="82"/>
              </w:rPr>
              <w:t>P</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3"/>
              </w:rPr>
              <w:t>1</w:t>
            </w:r>
          </w:p>
        </w:tc>
        <w:tc>
          <w:tcPr>
            <w:tcW w:w="440" w:type="dxa"/>
            <w:vAlign w:val="bottom"/>
          </w:tcPr>
          <w:p>
            <w:pPr>
              <w:jc w:val="center"/>
              <w:ind w:left="3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41.2</w:t>
            </w: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245,199</w:t>
            </w:r>
          </w:p>
        </w:tc>
        <w:tc>
          <w:tcPr>
            <w:tcW w:w="920" w:type="dxa"/>
            <w:vAlign w:val="bottom"/>
          </w:tcPr>
          <w:p>
            <w:pPr>
              <w:jc w:val="center"/>
              <w:ind w:right="49"/>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85"/>
              <w:spacing w:after="0"/>
              <w:rPr>
                <w:sz w:val="20"/>
                <w:szCs w:val="20"/>
                <w:color w:val="auto"/>
              </w:rPr>
            </w:pPr>
            <w:r>
              <w:rPr>
                <w:rFonts w:ascii="Times New Roman" w:cs="Times New Roman" w:eastAsia="Times New Roman" w:hAnsi="Times New Roman"/>
                <w:sz w:val="17"/>
                <w:szCs w:val="17"/>
                <w:color w:val="0000FF"/>
              </w:rPr>
              <w:t>06/01/2026</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8"/>
              <w:spacing w:after="0"/>
              <w:rPr>
                <w:sz w:val="20"/>
                <w:szCs w:val="20"/>
                <w:color w:val="auto"/>
              </w:rPr>
            </w:pPr>
            <w:r>
              <w:rPr>
                <w:rFonts w:ascii="Times New Roman" w:cs="Times New Roman" w:eastAsia="Times New Roman" w:hAnsi="Times New Roman"/>
                <w:sz w:val="13"/>
                <w:szCs w:val="13"/>
                <w:color w:val="0000FF"/>
                <w:w w:val="82"/>
              </w:rPr>
              <w:t>P</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1,363</w:t>
            </w:r>
          </w:p>
        </w:tc>
        <w:tc>
          <w:tcPr>
            <w:tcW w:w="440" w:type="dxa"/>
            <w:vAlign w:val="bottom"/>
            <w:tcBorders>
              <w:bottom w:val="single" w:sz="8" w:color="2C2C2C"/>
            </w:tcBorders>
          </w:tcPr>
          <w:p>
            <w:pPr>
              <w:jc w:val="center"/>
              <w:ind w:left="3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jc w:val="center"/>
              <w:ind w:left="8"/>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44.37</w:t>
            </w:r>
            <w:r>
              <w:rPr>
                <w:rFonts w:ascii="Times New Roman" w:cs="Times New Roman" w:eastAsia="Times New Roman" w:hAnsi="Times New Roman"/>
                <w:sz w:val="22"/>
                <w:szCs w:val="22"/>
                <w:color w:val="008000"/>
                <w:w w:val="95"/>
                <w:vertAlign w:val="superscript"/>
              </w:rPr>
              <w:t>(1)</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246,562</w:t>
            </w:r>
          </w:p>
        </w:tc>
        <w:tc>
          <w:tcPr>
            <w:tcW w:w="920" w:type="dxa"/>
            <w:vAlign w:val="bottom"/>
            <w:tcBorders>
              <w:bottom w:val="single" w:sz="8" w:color="2C2C2C"/>
            </w:tcBorders>
          </w:tcPr>
          <w:p>
            <w:pPr>
              <w:jc w:val="center"/>
              <w:ind w:right="49"/>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5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Pr>
          <w:p>
            <w:pPr>
              <w:spacing w:after="0"/>
              <w:rPr>
                <w:sz w:val="23"/>
                <w:szCs w:val="23"/>
                <w:color w:val="auto"/>
              </w:rPr>
            </w:pPr>
          </w:p>
        </w:tc>
        <w:tc>
          <w:tcPr>
            <w:tcW w:w="1780" w:type="dxa"/>
            <w:vAlign w:val="bottom"/>
            <w:gridSpan w:val="3"/>
          </w:tcPr>
          <w:p>
            <w:pPr>
              <w:jc w:val="center"/>
              <w:ind w:left="585"/>
              <w:spacing w:after="0"/>
              <w:rPr>
                <w:sz w:val="20"/>
                <w:szCs w:val="20"/>
                <w:color w:val="auto"/>
              </w:rPr>
            </w:pPr>
            <w:r>
              <w:rPr>
                <w:rFonts w:ascii="Times New Roman" w:cs="Times New Roman" w:eastAsia="Times New Roman" w:hAnsi="Times New Roman"/>
                <w:sz w:val="17"/>
                <w:szCs w:val="17"/>
                <w:color w:val="0000FF"/>
              </w:rPr>
              <w:t>06/01/2026</w:t>
            </w:r>
          </w:p>
        </w:tc>
        <w:tc>
          <w:tcPr>
            <w:tcW w:w="4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0" w:type="dxa"/>
            <w:vAlign w:val="bottom"/>
          </w:tcPr>
          <w:p>
            <w:pPr>
              <w:jc w:val="center"/>
              <w:ind w:right="278"/>
              <w:spacing w:after="0"/>
              <w:rPr>
                <w:sz w:val="20"/>
                <w:szCs w:val="20"/>
                <w:color w:val="auto"/>
              </w:rPr>
            </w:pPr>
            <w:r>
              <w:rPr>
                <w:rFonts w:ascii="Times New Roman" w:cs="Times New Roman" w:eastAsia="Times New Roman" w:hAnsi="Times New Roman"/>
                <w:sz w:val="13"/>
                <w:szCs w:val="13"/>
                <w:color w:val="0000FF"/>
                <w:w w:val="82"/>
              </w:rPr>
              <w:t>P</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836</w:t>
            </w:r>
          </w:p>
        </w:tc>
        <w:tc>
          <w:tcPr>
            <w:tcW w:w="440" w:type="dxa"/>
            <w:vAlign w:val="bottom"/>
          </w:tcPr>
          <w:p>
            <w:pPr>
              <w:jc w:val="center"/>
              <w:ind w:left="3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gridSpan w:val="3"/>
          </w:tcPr>
          <w:p>
            <w:pPr>
              <w:jc w:val="center"/>
              <w:ind w:left="8"/>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44.99</w:t>
            </w: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247,398</w:t>
            </w:r>
          </w:p>
        </w:tc>
        <w:tc>
          <w:tcPr>
            <w:tcW w:w="920" w:type="dxa"/>
            <w:vAlign w:val="bottom"/>
          </w:tcPr>
          <w:p>
            <w:pPr>
              <w:jc w:val="center"/>
              <w:ind w:right="49"/>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85"/>
              <w:spacing w:after="0"/>
              <w:rPr>
                <w:sz w:val="20"/>
                <w:szCs w:val="20"/>
                <w:color w:val="auto"/>
              </w:rPr>
            </w:pPr>
            <w:r>
              <w:rPr>
                <w:rFonts w:ascii="Times New Roman" w:cs="Times New Roman" w:eastAsia="Times New Roman" w:hAnsi="Times New Roman"/>
                <w:sz w:val="17"/>
                <w:szCs w:val="17"/>
                <w:color w:val="0000FF"/>
              </w:rPr>
              <w:t>06/02/2026</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8"/>
              <w:spacing w:after="0"/>
              <w:rPr>
                <w:sz w:val="20"/>
                <w:szCs w:val="20"/>
                <w:color w:val="auto"/>
              </w:rPr>
            </w:pPr>
            <w:r>
              <w:rPr>
                <w:rFonts w:ascii="Times New Roman" w:cs="Times New Roman" w:eastAsia="Times New Roman" w:hAnsi="Times New Roman"/>
                <w:sz w:val="13"/>
                <w:szCs w:val="13"/>
                <w:color w:val="0000FF"/>
                <w:w w:val="82"/>
              </w:rPr>
              <w:t>P</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2,473</w:t>
            </w:r>
          </w:p>
        </w:tc>
        <w:tc>
          <w:tcPr>
            <w:tcW w:w="440" w:type="dxa"/>
            <w:vAlign w:val="bottom"/>
            <w:tcBorders>
              <w:bottom w:val="single" w:sz="8" w:color="2C2C2C"/>
            </w:tcBorders>
          </w:tcPr>
          <w:p>
            <w:pPr>
              <w:jc w:val="center"/>
              <w:ind w:left="3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jc w:val="center"/>
              <w:ind w:left="8"/>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44.95</w:t>
            </w:r>
            <w:r>
              <w:rPr>
                <w:rFonts w:ascii="Times New Roman" w:cs="Times New Roman" w:eastAsia="Times New Roman" w:hAnsi="Times New Roman"/>
                <w:sz w:val="22"/>
                <w:szCs w:val="22"/>
                <w:color w:val="008000"/>
                <w:w w:val="95"/>
                <w:vertAlign w:val="superscript"/>
              </w:rPr>
              <w:t>(2)</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249,871</w:t>
            </w:r>
          </w:p>
        </w:tc>
        <w:tc>
          <w:tcPr>
            <w:tcW w:w="920" w:type="dxa"/>
            <w:vAlign w:val="bottom"/>
            <w:tcBorders>
              <w:bottom w:val="single" w:sz="8" w:color="2C2C2C"/>
            </w:tcBorders>
          </w:tcPr>
          <w:p>
            <w:pPr>
              <w:jc w:val="center"/>
              <w:ind w:right="49"/>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5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Pr>
          <w:p>
            <w:pPr>
              <w:spacing w:after="0"/>
              <w:rPr>
                <w:sz w:val="23"/>
                <w:szCs w:val="23"/>
                <w:color w:val="auto"/>
              </w:rPr>
            </w:pPr>
          </w:p>
        </w:tc>
        <w:tc>
          <w:tcPr>
            <w:tcW w:w="1780" w:type="dxa"/>
            <w:vAlign w:val="bottom"/>
            <w:gridSpan w:val="3"/>
          </w:tcPr>
          <w:p>
            <w:pPr>
              <w:jc w:val="center"/>
              <w:ind w:left="585"/>
              <w:spacing w:after="0"/>
              <w:rPr>
                <w:sz w:val="20"/>
                <w:szCs w:val="20"/>
                <w:color w:val="auto"/>
              </w:rPr>
            </w:pPr>
            <w:r>
              <w:rPr>
                <w:rFonts w:ascii="Times New Roman" w:cs="Times New Roman" w:eastAsia="Times New Roman" w:hAnsi="Times New Roman"/>
                <w:sz w:val="17"/>
                <w:szCs w:val="17"/>
                <w:color w:val="0000FF"/>
              </w:rPr>
              <w:t>06/03/2026</w:t>
            </w:r>
          </w:p>
        </w:tc>
        <w:tc>
          <w:tcPr>
            <w:tcW w:w="4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0" w:type="dxa"/>
            <w:vAlign w:val="bottom"/>
          </w:tcPr>
          <w:p>
            <w:pPr>
              <w:jc w:val="center"/>
              <w:ind w:right="278"/>
              <w:spacing w:after="0"/>
              <w:rPr>
                <w:sz w:val="20"/>
                <w:szCs w:val="20"/>
                <w:color w:val="auto"/>
              </w:rPr>
            </w:pPr>
            <w:r>
              <w:rPr>
                <w:rFonts w:ascii="Times New Roman" w:cs="Times New Roman" w:eastAsia="Times New Roman" w:hAnsi="Times New Roman"/>
                <w:sz w:val="13"/>
                <w:szCs w:val="13"/>
                <w:color w:val="0000FF"/>
                <w:w w:val="82"/>
              </w:rPr>
              <w:t>P</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800</w:t>
            </w:r>
          </w:p>
        </w:tc>
        <w:tc>
          <w:tcPr>
            <w:tcW w:w="440" w:type="dxa"/>
            <w:vAlign w:val="bottom"/>
          </w:tcPr>
          <w:p>
            <w:pPr>
              <w:jc w:val="center"/>
              <w:ind w:left="3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44.4</w:t>
            </w: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250,671</w:t>
            </w:r>
          </w:p>
        </w:tc>
        <w:tc>
          <w:tcPr>
            <w:tcW w:w="920" w:type="dxa"/>
            <w:vAlign w:val="bottom"/>
          </w:tcPr>
          <w:p>
            <w:pPr>
              <w:jc w:val="center"/>
              <w:ind w:right="49"/>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85"/>
              <w:spacing w:after="0"/>
              <w:rPr>
                <w:sz w:val="20"/>
                <w:szCs w:val="20"/>
                <w:color w:val="auto"/>
              </w:rPr>
            </w:pPr>
            <w:r>
              <w:rPr>
                <w:rFonts w:ascii="Times New Roman" w:cs="Times New Roman" w:eastAsia="Times New Roman" w:hAnsi="Times New Roman"/>
                <w:sz w:val="17"/>
                <w:szCs w:val="17"/>
                <w:color w:val="0000FF"/>
              </w:rPr>
              <w:t>06/03/2026</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8"/>
              <w:spacing w:after="0"/>
              <w:rPr>
                <w:sz w:val="20"/>
                <w:szCs w:val="20"/>
                <w:color w:val="auto"/>
              </w:rPr>
            </w:pPr>
            <w:r>
              <w:rPr>
                <w:rFonts w:ascii="Times New Roman" w:cs="Times New Roman" w:eastAsia="Times New Roman" w:hAnsi="Times New Roman"/>
                <w:sz w:val="13"/>
                <w:szCs w:val="13"/>
                <w:color w:val="0000FF"/>
                <w:w w:val="82"/>
              </w:rPr>
              <w:t>P</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3,183</w:t>
            </w:r>
          </w:p>
        </w:tc>
        <w:tc>
          <w:tcPr>
            <w:tcW w:w="440" w:type="dxa"/>
            <w:vAlign w:val="bottom"/>
            <w:tcBorders>
              <w:bottom w:val="single" w:sz="8" w:color="2C2C2C"/>
            </w:tcBorders>
          </w:tcPr>
          <w:p>
            <w:pPr>
              <w:jc w:val="center"/>
              <w:ind w:left="3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jc w:val="center"/>
              <w:ind w:left="8"/>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45.49</w:t>
            </w:r>
            <w:r>
              <w:rPr>
                <w:rFonts w:ascii="Times New Roman" w:cs="Times New Roman" w:eastAsia="Times New Roman" w:hAnsi="Times New Roman"/>
                <w:sz w:val="22"/>
                <w:szCs w:val="22"/>
                <w:color w:val="008000"/>
                <w:w w:val="95"/>
                <w:vertAlign w:val="superscript"/>
              </w:rPr>
              <w:t>(3)</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253,854</w:t>
            </w:r>
          </w:p>
        </w:tc>
        <w:tc>
          <w:tcPr>
            <w:tcW w:w="920" w:type="dxa"/>
            <w:vAlign w:val="bottom"/>
            <w:tcBorders>
              <w:bottom w:val="single" w:sz="8" w:color="2C2C2C"/>
            </w:tcBorders>
          </w:tcPr>
          <w:p>
            <w:pPr>
              <w:jc w:val="center"/>
              <w:ind w:right="49"/>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vMerge w:val="restart"/>
          </w:tcPr>
          <w:p>
            <w:pPr>
              <w:jc w:val="center"/>
              <w:ind w:right="377"/>
              <w:spacing w:after="0"/>
              <w:rPr>
                <w:sz w:val="20"/>
                <w:szCs w:val="20"/>
                <w:color w:val="auto"/>
              </w:rPr>
            </w:pPr>
            <w:r>
              <w:rPr>
                <w:rFonts w:ascii="Times New Roman" w:cs="Times New Roman" w:eastAsia="Times New Roman" w:hAnsi="Times New Roman"/>
                <w:sz w:val="17"/>
                <w:szCs w:val="17"/>
                <w:color w:val="0000FF"/>
                <w:w w:val="99"/>
              </w:rPr>
              <w:t>3,378</w:t>
            </w:r>
          </w:p>
        </w:tc>
        <w:tc>
          <w:tcPr>
            <w:tcW w:w="920" w:type="dxa"/>
            <w:vAlign w:val="bottom"/>
            <w:vMerge w:val="restart"/>
          </w:tcPr>
          <w:p>
            <w:pPr>
              <w:jc w:val="center"/>
              <w:ind w:right="49"/>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80" w:type="dxa"/>
            <w:vAlign w:val="bottom"/>
            <w:gridSpan w:val="4"/>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spouse</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13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920" w:type="dxa"/>
            <w:vAlign w:val="bottom"/>
            <w:gridSpan w:val="13"/>
          </w:tcPr>
          <w:p>
            <w:pPr>
              <w:jc w:val="center"/>
              <w:ind w:right="617"/>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jc w:val="center"/>
              <w:ind w:left="665"/>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$43.94 to $44.92, inclusive. The reporting person undertakes to provide to PhenixFIN Corporation, any security holder of PhenixFIN Corporation, or the staff of the Securities and Exchange Commission, upon request, full information regarding the number of shares purchased at each separate price within the ranges set forth in footnote (1) to this Form 4.</w:t>
      </w:r>
    </w:p>
    <w:p>
      <w:pPr>
        <w:spacing w:after="0" w:line="20" w:lineRule="exact"/>
        <w:rPr>
          <w:rFonts w:ascii="Times New Roman" w:cs="Times New Roman" w:eastAsia="Times New Roman" w:hAnsi="Times New Roman"/>
          <w:sz w:val="13"/>
          <w:szCs w:val="13"/>
          <w:color w:val="008000"/>
        </w:rPr>
      </w:pPr>
    </w:p>
    <w:p>
      <w:pPr>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$44.71 to $45.49, inclusive. The reporting person undertakes to provide to PhenixFIN Corporation, any security holder of PhenixFIN Corporation, or the staff of the Securities and Exchange Commission, upon request, full information regarding the number of shares purchased at each separate price within the ranges set forth in footnote (2) to this Form 4.</w:t>
      </w:r>
    </w:p>
    <w:p>
      <w:pPr>
        <w:spacing w:after="0" w:line="20" w:lineRule="exact"/>
        <w:rPr>
          <w:rFonts w:ascii="Times New Roman" w:cs="Times New Roman" w:eastAsia="Times New Roman" w:hAnsi="Times New Roman"/>
          <w:sz w:val="13"/>
          <w:szCs w:val="13"/>
          <w:color w:val="008000"/>
        </w:rPr>
      </w:pPr>
    </w:p>
    <w:p>
      <w:pPr>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$45.46 to $45.49, inclusive. The reporting person undertakes to provide to PhenixFIN Corporation, any security holder of PhenixFIN Corporation, or the staff of the Securities and Exchange Commission, upon request, full information regarding the number of shares purchased at each separate price within the ranges set forth in footnote (3) to this Form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in the reporting person's spouse's retirement account.</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David A. Lorber</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06/03/2026</w:t>
            </w:r>
          </w:p>
        </w:tc>
      </w:tr>
      <w:tr>
        <w:trPr>
          <w:trHeight w:val="20"/>
        </w:trPr>
        <w:tc>
          <w:tcPr>
            <w:tcW w:w="13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24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3" Type="http://schemas.openxmlformats.org/officeDocument/2006/relationships/hyperlink" Target="http://www.sec.gov/cgi-bin/browse-edgar?action=getcompany&amp;CIK=0001358538" TargetMode="External"/><Relationship Id="rId14" Type="http://schemas.openxmlformats.org/officeDocument/2006/relationships/hyperlink" Target="http://www.sec.gov/cgi-bin/browse-edgar?action=getcompany&amp;CIK=000149034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2026-06-03T16:26:08Z</dcterms:created>
  <dcterms:modified xsi:type="dcterms:W3CDTF">2026-06-03T16:26:08Z</dcterms:modified>
</cp:coreProperties>
</file>