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98856-10q_phenixfin.htm"/>
      <w:bookmarkStart w:id="1" w:name="ksea029885610q_phenixfin"/>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1-35040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240" w:type="dxa"/>
        <w:jc w:val="left"/>
        <w:tblInd w:w="0" w:type="dxa"/>
        <w:tblLayout w:type="fixed"/>
        <w:tblCellMar>
          <w:top w:w="0" w:type="dxa"/>
          <w:left w:w="0" w:type="dxa"/>
          <w:bottom w:w="28" w:type="dxa"/>
          <w:right w:w="0" w:type="dxa"/>
        </w:tblCellMar>
      </w:tblPr>
      <w:tblGrid>
        <w:gridCol w:w="2555"/>
        <w:gridCol w:w="90"/>
        <w:gridCol w:w="1595"/>
      </w:tblGrid>
      <w:tr>
        <w:trPr/>
        <w:tc>
          <w:tcPr>
            <w:tcW w:w="255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27-4576073</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870" w:type="dxa"/>
        <w:jc w:val="left"/>
        <w:tblInd w:w="0" w:type="dxa"/>
        <w:tblLayout w:type="fixed"/>
        <w:tblCellMar>
          <w:top w:w="0" w:type="dxa"/>
          <w:left w:w="0" w:type="dxa"/>
          <w:bottom w:w="28" w:type="dxa"/>
          <w:right w:w="0" w:type="dxa"/>
        </w:tblCellMar>
      </w:tblPr>
      <w:tblGrid>
        <w:gridCol w:w="3800"/>
        <w:gridCol w:w="90"/>
        <w:gridCol w:w="980"/>
      </w:tblGrid>
      <w:tr>
        <w:trPr/>
        <w:tc>
          <w:tcPr>
            <w:tcW w:w="38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445 Park Avenue, 10th Floor, New York, NY</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10022</w:t>
            </w:r>
          </w:p>
        </w:tc>
      </w:tr>
      <w:tr>
        <w:trPr/>
        <w:tc>
          <w:tcPr>
            <w:tcW w:w="3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859-0390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9135" w:type="dxa"/>
        <w:jc w:val="left"/>
        <w:tblInd w:w="0" w:type="dxa"/>
        <w:tblLayout w:type="fixed"/>
        <w:tblCellMar>
          <w:top w:w="0" w:type="dxa"/>
          <w:left w:w="0" w:type="dxa"/>
          <w:bottom w:w="28" w:type="dxa"/>
          <w:right w:w="0" w:type="dxa"/>
        </w:tblCellMar>
      </w:tblPr>
      <w:tblGrid>
        <w:gridCol w:w="3545"/>
        <w:gridCol w:w="90"/>
        <w:gridCol w:w="1640"/>
        <w:gridCol w:w="90"/>
        <w:gridCol w:w="3770"/>
      </w:tblGrid>
      <w:tr>
        <w:trPr/>
        <w:tc>
          <w:tcPr>
            <w:tcW w:w="35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$0.001 per share</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PFX</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Global Market</w:t>
            </w:r>
          </w:p>
        </w:tc>
      </w:tr>
      <w:tr>
        <w:trPr/>
        <w:tc>
          <w:tcPr>
            <w:tcW w:w="35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 Notes due 2028</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PFXNZ</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Global Market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 None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 Accelerated filer ☐ Non-accelerated filer ☒ Smaller reporting company ☐ Emerging growth company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Securities Exchange Act of 1934). 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had 1,931,273 shares of common stock, $0.001 par value, outstanding as of August 5, 2026.</w:t>
      </w:r>
    </w:p>
    <w:p>
      <w:pPr>
        <w:pStyle w:val="TextBody"/>
        <w:bidi w:val="0"/>
        <w:spacing w:before="0" w:after="0"/>
        <w:jc w:val="both"/>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7"/>
        <w:gridCol w:w="508"/>
      </w:tblGrid>
      <w:tr>
        <w:trPr/>
        <w:tc>
          <w:tcPr>
            <w:tcW w:w="969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508"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Financial Information</w:t>
            </w:r>
          </w:p>
        </w:tc>
        <w:tc>
          <w:tcPr>
            <w:tcW w:w="508"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 Financial Statements</w:t>
            </w:r>
          </w:p>
        </w:tc>
        <w:tc>
          <w:tcPr>
            <w:tcW w:w="508"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01">
              <w:r>
                <w:rPr>
                  <w:rStyle w:val="InternetLink"/>
                  <w:rFonts w:ascii="Times New Roman;Times;Serif" w:hAnsi="Times New Roman;Times;Serif"/>
                  <w:b w:val="false"/>
                  <w:i w:val="false"/>
                  <w:caps w:val="false"/>
                  <w:smallCaps w:val="false"/>
                  <w:sz w:val="20"/>
                </w:rPr>
                <w:t>Consolidated Statements of Assets and Liabilities as of June 30, 2026 (unaudited) and September 30, 2025</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02">
              <w:r>
                <w:rPr>
                  <w:rStyle w:val="InternetLink"/>
                  <w:rFonts w:ascii="Times New Roman;Times;Serif" w:hAnsi="Times New Roman;Times;Serif"/>
                  <w:b w:val="false"/>
                  <w:i w:val="false"/>
                  <w:caps w:val="false"/>
                  <w:smallCaps w:val="false"/>
                  <w:sz w:val="20"/>
                </w:rPr>
                <w:t>Consolidated Statements of Operations for the three and nine months ended June 30, 2026 and 2025 (unaudited)</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03">
              <w:r>
                <w:rPr>
                  <w:rStyle w:val="InternetLink"/>
                  <w:rFonts w:ascii="Times New Roman;Times;Serif" w:hAnsi="Times New Roman;Times;Serif"/>
                  <w:b w:val="false"/>
                  <w:i w:val="false"/>
                  <w:caps w:val="false"/>
                  <w:smallCaps w:val="false"/>
                  <w:sz w:val="20"/>
                </w:rPr>
                <w:t>Consolidated Statements of Changes in Net Assets for the three and nine months ended June 30, 2026 and 2025 (unaudited)</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04">
              <w:r>
                <w:rPr>
                  <w:rStyle w:val="InternetLink"/>
                  <w:rFonts w:ascii="Times New Roman;Times;Serif" w:hAnsi="Times New Roman;Times;Serif"/>
                  <w:b w:val="false"/>
                  <w:i w:val="false"/>
                  <w:caps w:val="false"/>
                  <w:smallCaps w:val="false"/>
                  <w:sz w:val="20"/>
                </w:rPr>
                <w:t>Consolidated Statements of Cash Flows for the three and nine months ended June 30, 2026 and 2025 (unaudited)</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05">
              <w:r>
                <w:rPr>
                  <w:rStyle w:val="InternetLink"/>
                  <w:rFonts w:ascii="Times New Roman;Times;Serif" w:hAnsi="Times New Roman;Times;Serif"/>
                  <w:b w:val="false"/>
                  <w:i w:val="false"/>
                  <w:caps w:val="false"/>
                  <w:smallCaps w:val="false"/>
                  <w:sz w:val="20"/>
                </w:rPr>
                <w:t>Consolidated Schedules of Investments as of June 30, 2026 (unaudited) and September 30, 2025</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06">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07">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08">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09">
              <w:r>
                <w:rPr>
                  <w:rStyle w:val="InternetLink"/>
                  <w:rFonts w:ascii="Times New Roman;Times;Serif" w:hAnsi="Times New Roman;Times;Serif"/>
                  <w:b w:val="false"/>
                  <w:i w:val="false"/>
                  <w:caps w:val="false"/>
                  <w:smallCaps w:val="false"/>
                  <w:sz w:val="20"/>
                </w:rPr>
                <w:t>Item 4. Controls and Procedures</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10">
              <w:r>
                <w:rPr>
                  <w:rStyle w:val="InternetLink"/>
                  <w:rFonts w:ascii="Times New Roman;Times;Serif" w:hAnsi="Times New Roman;Times;Serif"/>
                  <w:b/>
                  <w:i w:val="false"/>
                  <w:caps w:val="false"/>
                  <w:smallCaps w:val="false"/>
                  <w:sz w:val="20"/>
                </w:rPr>
                <w:t>Part II. Other Information</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11">
              <w:r>
                <w:rPr>
                  <w:rStyle w:val="InternetLink"/>
                  <w:rFonts w:ascii="Times New Roman;Times;Serif" w:hAnsi="Times New Roman;Times;Serif"/>
                  <w:b w:val="false"/>
                  <w:i w:val="false"/>
                  <w:caps w:val="false"/>
                  <w:smallCaps w:val="false"/>
                  <w:sz w:val="20"/>
                </w:rPr>
                <w:t>Item 1. Legal Proceedings</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12">
              <w:r>
                <w:rPr>
                  <w:rStyle w:val="InternetLink"/>
                  <w:rFonts w:ascii="Times New Roman;Times;Serif" w:hAnsi="Times New Roman;Times;Serif"/>
                  <w:b w:val="false"/>
                  <w:i w:val="false"/>
                  <w:caps w:val="false"/>
                  <w:smallCaps w:val="false"/>
                  <w:sz w:val="20"/>
                </w:rPr>
                <w:t>Item 1A. Risk Factors</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13">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14">
              <w:r>
                <w:rPr>
                  <w:rStyle w:val="InternetLink"/>
                  <w:rFonts w:ascii="Times New Roman;Times;Serif" w:hAnsi="Times New Roman;Times;Serif"/>
                  <w:b w:val="false"/>
                  <w:i w:val="false"/>
                  <w:caps w:val="false"/>
                  <w:smallCaps w:val="false"/>
                  <w:sz w:val="20"/>
                </w:rPr>
                <w:t>Item 3. Defaults Upon Senior Securities</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15">
              <w:r>
                <w:rPr>
                  <w:rStyle w:val="InternetLink"/>
                  <w:rFonts w:ascii="Times New Roman;Times;Serif" w:hAnsi="Times New Roman;Times;Serif"/>
                  <w:b w:val="false"/>
                  <w:i w:val="false"/>
                  <w:caps w:val="false"/>
                  <w:smallCaps w:val="false"/>
                  <w:sz w:val="20"/>
                </w:rPr>
                <w:t>Item 4. Mine Safety Disclosures</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16">
              <w:r>
                <w:rPr>
                  <w:rStyle w:val="InternetLink"/>
                  <w:rFonts w:ascii="Times New Roman;Times;Serif" w:hAnsi="Times New Roman;Times;Serif"/>
                  <w:b w:val="false"/>
                  <w:i w:val="false"/>
                  <w:caps w:val="false"/>
                  <w:smallCaps w:val="false"/>
                  <w:sz w:val="20"/>
                </w:rPr>
                <w:t>Item 5. Other Information</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17">
              <w:r>
                <w:rPr>
                  <w:rStyle w:val="InternetLink"/>
                  <w:rFonts w:ascii="Times New Roman;Times;Serif" w:hAnsi="Times New Roman;Times;Serif"/>
                  <w:b w:val="false"/>
                  <w:i w:val="false"/>
                  <w:caps w:val="false"/>
                  <w:smallCaps w:val="false"/>
                  <w:sz w:val="20"/>
                </w:rPr>
                <w:t>Item 6. Exhibits</w:t>
              </w:r>
            </w:hyperlink>
          </w:p>
        </w:tc>
        <w:tc>
          <w:tcPr>
            <w:tcW w:w="508"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697"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97" w:type="dxa"/>
            <w:tcBorders/>
            <w:shd w:fill="CCEEFF" w:val="clear"/>
            <w:vAlign w:val="center"/>
          </w:tcPr>
          <w:p>
            <w:pPr>
              <w:pStyle w:val="TableContents"/>
              <w:bidi w:val="0"/>
              <w:spacing w:before="0" w:after="283"/>
              <w:jc w:val="left"/>
              <w:rPr/>
            </w:pPr>
            <w:hyperlink w:anchor="aa_018">
              <w:r>
                <w:rPr>
                  <w:rStyle w:val="InternetLink"/>
                  <w:rFonts w:ascii="Times New Roman;Times;Serif" w:hAnsi="Times New Roman;Times;Serif"/>
                  <w:b/>
                  <w:i w:val="false"/>
                  <w:caps w:val="false"/>
                  <w:smallCaps w:val="false"/>
                  <w:sz w:val="20"/>
                </w:rPr>
                <w:t>SIGNATURES</w:t>
              </w:r>
            </w:hyperlink>
          </w:p>
        </w:tc>
        <w:tc>
          <w:tcPr>
            <w:tcW w:w="50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bookmarkStart w:id="2" w:name="aa_001"/>
      <w:bookmarkEnd w:id="2"/>
      <w:r>
        <w:rPr>
          <w:rFonts w:ascii="Times New Roman;Times;Serif" w:hAnsi="Times New Roman;Times;Serif"/>
          <w:b/>
          <w:i w:val="false"/>
          <w:caps w:val="false"/>
          <w:smallCaps w:val="false"/>
          <w:sz w:val="20"/>
        </w:rPr>
        <w:t>Consolidated Statements of Assets and Liabilities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34"/>
        <w:gridCol w:w="90"/>
        <w:gridCol w:w="170"/>
        <w:gridCol w:w="1325"/>
        <w:gridCol w:w="125"/>
        <w:gridCol w:w="90"/>
        <w:gridCol w:w="172"/>
        <w:gridCol w:w="1348"/>
        <w:gridCol w:w="151"/>
      </w:tblGrid>
      <w:tr>
        <w:trPr/>
        <w:tc>
          <w:tcPr>
            <w:tcW w:w="67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b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15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pPr>
            <w:r>
              <w:rPr/>
              <w:t>Investments at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pPr>
            <w:r>
              <w:rPr/>
              <w:t>Non-controlled, non-affiliated investments (amortized cost of $133,498,823 and $139,342,491,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right"/>
              <w:rPr/>
            </w:pPr>
            <w:r>
              <w:rPr/>
              <w:t>136,419,212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1348" w:type="dxa"/>
            <w:tcBorders/>
            <w:vAlign w:val="center"/>
          </w:tcPr>
          <w:p>
            <w:pPr>
              <w:pStyle w:val="TableContents"/>
              <w:bidi w:val="0"/>
              <w:spacing w:before="0" w:after="283"/>
              <w:jc w:val="right"/>
              <w:rPr/>
            </w:pPr>
            <w:r>
              <w:rPr/>
              <w:t>145,280,169</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pPr>
            <w:r>
              <w:rPr/>
              <w:t>Affiliated investments (amortized cost of $38,802,355 and $35,390,223,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36,682,577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35,381,405</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pPr>
            <w:r>
              <w:rPr/>
              <w:t>Controlled investments (amortized cost of $155,112,950 and $149,656,451, respectively)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128,535,521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8" w:type="dxa"/>
            <w:tcBorders>
              <w:bottom w:val="single" w:sz="12" w:space="0" w:color="000000"/>
            </w:tcBorders>
            <w:tcMar>
              <w:bottom w:w="28" w:type="dxa"/>
            </w:tcMar>
            <w:vAlign w:val="center"/>
          </w:tcPr>
          <w:p>
            <w:pPr>
              <w:pStyle w:val="TableContents"/>
              <w:bidi w:val="0"/>
              <w:spacing w:before="0" w:after="283"/>
              <w:jc w:val="right"/>
              <w:rPr/>
            </w:pPr>
            <w:r>
              <w:rPr/>
              <w:t>121,610,914</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pPr>
            <w:r>
              <w:rPr/>
              <w:t>Total Investments at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301,637,310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302,272,488</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pPr>
            <w:r>
              <w:rPr/>
              <w:t>Cash and cash equivalents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2,178,083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7,289,371</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pPr>
            <w:r>
              <w:rPr/>
              <w:t>Receivables: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pPr>
            <w:r>
              <w:rPr/>
              <w:t>Interest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1,421,515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1,203,404</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pPr>
            <w:r>
              <w:rPr/>
              <w:t>Other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44,971</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pPr>
            <w:r>
              <w:rPr/>
              <w:t>Dividends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61,200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42,950</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pPr>
            <w:r>
              <w:rPr/>
              <w:t>Other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2,389,994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2,746,775</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pPr>
            <w:r>
              <w:rPr/>
              <w:t>Deferred tax asset,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670,560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1,234,847</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pPr>
            <w:r>
              <w:rPr/>
              <w:t>Deferred financing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1,185,184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1,384,767</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pPr>
            <w:r>
              <w:rPr/>
              <w:t>Due from Affiliate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258,310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572,331</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pPr>
            <w:r>
              <w:rPr/>
              <w:t>Prepaid share repurchase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84,797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96,342</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pPr>
            <w:r>
              <w:rPr/>
              <w:t>Receivable for investments sold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8" w:type="dxa"/>
            <w:tcBorders>
              <w:bottom w:val="single" w:sz="12" w:space="0" w:color="000000"/>
            </w:tcBorders>
            <w:tcMar>
              <w:bottom w:w="28" w:type="dxa"/>
            </w:tcMar>
            <w:vAlign w:val="center"/>
          </w:tcPr>
          <w:p>
            <w:pPr>
              <w:pStyle w:val="TableContents"/>
              <w:bidi w:val="0"/>
              <w:spacing w:before="0" w:after="283"/>
              <w:jc w:val="right"/>
              <w:rPr/>
            </w:pPr>
            <w:r>
              <w:rPr/>
              <w:t>21,549</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b/>
              </w:rPr>
            </w:pPr>
            <w:r>
              <w:rPr>
                <w:b/>
              </w:rPr>
              <w:t>Total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309,886,953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8" w:type="dxa"/>
            <w:tcBorders>
              <w:bottom w:val="double" w:sz="10" w:space="0" w:color="000000"/>
            </w:tcBorders>
            <w:shd w:fill="CCEEFF" w:val="clear"/>
            <w:tcMar>
              <w:bottom w:w="28" w:type="dxa"/>
            </w:tcMar>
            <w:vAlign w:val="center"/>
          </w:tcPr>
          <w:p>
            <w:pPr>
              <w:pStyle w:val="TableContents"/>
              <w:bidi w:val="0"/>
              <w:spacing w:before="0" w:after="283"/>
              <w:jc w:val="right"/>
              <w:rPr/>
            </w:pPr>
            <w:r>
              <w:rPr/>
              <w:t>316,909,795</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b/>
              </w:rPr>
            </w:pPr>
            <w:r>
              <w:rPr>
                <w:b/>
              </w:rPr>
              <w:t>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pPr>
            <w:r>
              <w:rPr/>
              <w:t>Credit facility and notes payable (net of debt issuance costs of $781,263 and $1,141,393,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right"/>
              <w:rPr/>
            </w:pPr>
            <w:r>
              <w:rPr/>
              <w:t>146,710,356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1348" w:type="dxa"/>
            <w:tcBorders/>
            <w:vAlign w:val="center"/>
          </w:tcPr>
          <w:p>
            <w:pPr>
              <w:pStyle w:val="TableContents"/>
              <w:bidi w:val="0"/>
              <w:spacing w:before="0" w:after="283"/>
              <w:jc w:val="right"/>
              <w:rPr/>
            </w:pPr>
            <w:r>
              <w:rPr/>
              <w:t>148,011,724</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pPr>
            <w:r>
              <w:rPr/>
              <w:t>Accounts payable and accrued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1,427,432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4,226,889</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pPr>
            <w:r>
              <w:rPr/>
              <w:t>Other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2,463,039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2,439,405</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pPr>
            <w:r>
              <w:rPr/>
              <w:t>Interest and fees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1,121,388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1,187,574</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pPr>
            <w:r>
              <w:rPr/>
              <w:t>Taxes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77,509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137,538</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pPr>
            <w:r>
              <w:rPr/>
              <w:t>Due to Affiliate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126,936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132,365</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pPr>
            <w:r>
              <w:rPr/>
              <w:t>Administrator expenses payable (see Note 6)</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97,386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8" w:type="dxa"/>
            <w:tcBorders>
              <w:bottom w:val="single" w:sz="12" w:space="0" w:color="000000"/>
            </w:tcBorders>
            <w:tcMar>
              <w:bottom w:w="28" w:type="dxa"/>
            </w:tcMar>
            <w:vAlign w:val="center"/>
          </w:tcPr>
          <w:p>
            <w:pPr>
              <w:pStyle w:val="TableContents"/>
              <w:bidi w:val="0"/>
              <w:spacing w:before="0" w:after="0"/>
              <w:jc w:val="right"/>
              <w:rPr/>
            </w:pPr>
            <w:r>
              <w:rPr/>
              <w:t>—</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b/>
              </w:rPr>
            </w:pPr>
            <w:r>
              <w:rPr>
                <w:b/>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152,024,046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156,135,495</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pPr>
            <w:r>
              <w:rPr/>
              <w:t>Commitments and Contingencies (see Note 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0"/>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b/>
              </w:rPr>
            </w:pPr>
            <w:r>
              <w:rPr>
                <w:b/>
              </w:rPr>
              <w:t>Net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pPr>
            <w:r>
              <w:rPr/>
              <w:t>Common Shares, $0.001 par value; 5,000,000 shares authorized; 2,723,709 shares issued; 1,932,473 and 2,003,769 common shares outstanding,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1,932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2,004</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pPr>
            <w:r>
              <w:rPr/>
              <w:t>Capital in excess of par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701,284,360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704,640,648</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pPr>
            <w:r>
              <w:rPr/>
              <w:t>Total distributable earnings (loss)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(543,423,385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8" w:type="dxa"/>
            <w:tcBorders>
              <w:bottom w:val="single" w:sz="12" w:space="0" w:color="000000"/>
            </w:tcBorders>
            <w:tcMar>
              <w:bottom w:w="28" w:type="dxa"/>
            </w:tcMar>
            <w:vAlign w:val="center"/>
          </w:tcPr>
          <w:p>
            <w:pPr>
              <w:pStyle w:val="TableContents"/>
              <w:bidi w:val="0"/>
              <w:spacing w:before="0" w:after="283"/>
              <w:jc w:val="right"/>
              <w:rPr/>
            </w:pPr>
            <w:r>
              <w:rPr/>
              <w:t>(543,868,352</w:t>
            </w:r>
          </w:p>
        </w:tc>
        <w:tc>
          <w:tcPr>
            <w:tcW w:w="151" w:type="dxa"/>
            <w:tcBorders/>
            <w:vAlign w:val="center"/>
          </w:tcPr>
          <w:p>
            <w:pPr>
              <w:pStyle w:val="TableContents"/>
              <w:bidi w:val="0"/>
              <w:spacing w:before="0" w:after="283"/>
              <w:ind w:left="0" w:right="0" w:hanging="180"/>
              <w:jc w:val="left"/>
              <w:rPr/>
            </w:pPr>
            <w:r>
              <w:rPr/>
              <w:t>)</w:t>
            </w:r>
          </w:p>
        </w:tc>
      </w:tr>
      <w:tr>
        <w:trPr/>
        <w:tc>
          <w:tcPr>
            <w:tcW w:w="6734" w:type="dxa"/>
            <w:tcBorders/>
            <w:shd w:fill="CCEEFF" w:val="clear"/>
            <w:vAlign w:val="center"/>
          </w:tcPr>
          <w:p>
            <w:pPr>
              <w:pStyle w:val="TableContents"/>
              <w:bidi w:val="0"/>
              <w:spacing w:before="0" w:after="283"/>
              <w:jc w:val="left"/>
              <w:rPr>
                <w:b/>
              </w:rPr>
            </w:pPr>
            <w:r>
              <w:rPr>
                <w:b/>
              </w:rPr>
              <w:t>Total Net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157,862,907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12" w:space="0" w:color="000000"/>
            </w:tcBorders>
            <w:shd w:fill="CCEEFF" w:val="clear"/>
            <w:tcMar>
              <w:bottom w:w="28" w:type="dxa"/>
            </w:tcMar>
            <w:vAlign w:val="center"/>
          </w:tcPr>
          <w:p>
            <w:pPr>
              <w:pStyle w:val="TableContents"/>
              <w:bidi w:val="0"/>
              <w:spacing w:before="0" w:after="283"/>
              <w:jc w:val="right"/>
              <w:rPr/>
            </w:pPr>
            <w:r>
              <w:rPr/>
              <w:t>160,774,300</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b/>
              </w:rPr>
            </w:pPr>
            <w:r>
              <w:rPr>
                <w:b/>
              </w:rPr>
              <w:t>Total Liabilities and Net Assets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tcMar>
              <w:bottom w:w="28" w:type="dxa"/>
            </w:tcMar>
            <w:vAlign w:val="center"/>
          </w:tcPr>
          <w:p>
            <w:pPr>
              <w:pStyle w:val="TableContents"/>
              <w:bidi w:val="0"/>
              <w:spacing w:before="0" w:after="283"/>
              <w:jc w:val="right"/>
              <w:rPr/>
            </w:pPr>
            <w:r>
              <w:rPr/>
              <w:t>309,886,953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double" w:sz="10" w:space="0" w:color="000000"/>
            </w:tcBorders>
            <w:tcMar>
              <w:bottom w:w="28" w:type="dxa"/>
            </w:tcMar>
            <w:vAlign w:val="center"/>
          </w:tcPr>
          <w:p>
            <w:pPr>
              <w:pStyle w:val="TableContents"/>
              <w:bidi w:val="0"/>
              <w:spacing w:before="0" w:after="283"/>
              <w:jc w:val="left"/>
              <w:rPr/>
            </w:pPr>
            <w:r>
              <w:rPr/>
              <w:t>$</w:t>
            </w:r>
          </w:p>
        </w:tc>
        <w:tc>
          <w:tcPr>
            <w:tcW w:w="1348" w:type="dxa"/>
            <w:tcBorders>
              <w:bottom w:val="double" w:sz="10" w:space="0" w:color="000000"/>
            </w:tcBorders>
            <w:tcMar>
              <w:bottom w:w="28" w:type="dxa"/>
            </w:tcMar>
            <w:vAlign w:val="center"/>
          </w:tcPr>
          <w:p>
            <w:pPr>
              <w:pStyle w:val="TableContents"/>
              <w:bidi w:val="0"/>
              <w:spacing w:before="0" w:after="283"/>
              <w:jc w:val="right"/>
              <w:rPr/>
            </w:pPr>
            <w:r>
              <w:rPr/>
              <w:t>316,909,795</w:t>
            </w:r>
          </w:p>
        </w:tc>
        <w:tc>
          <w:tcPr>
            <w:tcW w:w="151" w:type="dxa"/>
            <w:tcBorders/>
            <w:vAlign w:val="center"/>
          </w:tcPr>
          <w:p>
            <w:pPr>
              <w:pStyle w:val="TableContents"/>
              <w:bidi w:val="0"/>
              <w:spacing w:before="0" w:after="283"/>
              <w:ind w:left="0" w:right="0" w:hanging="180"/>
              <w:jc w:val="left"/>
              <w:rPr/>
            </w:pPr>
            <w:r>
              <w:rPr/>
              <w:t> </w:t>
            </w:r>
          </w:p>
        </w:tc>
      </w:tr>
      <w:tr>
        <w:trPr/>
        <w:tc>
          <w:tcPr>
            <w:tcW w:w="673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34" w:type="dxa"/>
            <w:tcBorders/>
            <w:vAlign w:val="center"/>
          </w:tcPr>
          <w:p>
            <w:pPr>
              <w:pStyle w:val="TableContents"/>
              <w:bidi w:val="0"/>
              <w:spacing w:before="0" w:after="283"/>
              <w:jc w:val="left"/>
              <w:rPr>
                <w:b/>
              </w:rPr>
            </w:pPr>
            <w:r>
              <w:rPr>
                <w:b/>
              </w:rPr>
              <w:t>Net Asset Value Per Common Share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right"/>
              <w:rPr/>
            </w:pPr>
            <w:r>
              <w:rPr/>
              <w:t>81.69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1348" w:type="dxa"/>
            <w:tcBorders/>
            <w:vAlign w:val="center"/>
          </w:tcPr>
          <w:p>
            <w:pPr>
              <w:pStyle w:val="TableContents"/>
              <w:bidi w:val="0"/>
              <w:spacing w:before="0" w:after="283"/>
              <w:jc w:val="right"/>
              <w:rPr/>
            </w:pPr>
            <w:r>
              <w:rPr/>
              <w:t>80.24</w:t>
            </w:r>
          </w:p>
        </w:tc>
        <w:tc>
          <w:tcPr>
            <w:tcW w:w="151"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bookmarkStart w:id="3" w:name="aa_002"/>
      <w:bookmarkEnd w:id="3"/>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15"/>
        <w:gridCol w:w="90"/>
        <w:gridCol w:w="170"/>
        <w:gridCol w:w="1085"/>
        <w:gridCol w:w="125"/>
        <w:gridCol w:w="90"/>
        <w:gridCol w:w="170"/>
        <w:gridCol w:w="1205"/>
        <w:gridCol w:w="125"/>
        <w:gridCol w:w="90"/>
        <w:gridCol w:w="170"/>
        <w:gridCol w:w="1130"/>
        <w:gridCol w:w="125"/>
        <w:gridCol w:w="90"/>
        <w:gridCol w:w="170"/>
        <w:gridCol w:w="1205"/>
        <w:gridCol w:w="150"/>
      </w:tblGrid>
      <w:tr>
        <w:trPr/>
        <w:tc>
          <w:tcPr>
            <w:tcW w:w="40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w:t>
              <w:br/>
              <w:t>Ended 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w:t>
              <w:br/>
              <w:t>Ended June 30,</w:t>
            </w:r>
          </w:p>
        </w:tc>
        <w:tc>
          <w:tcPr>
            <w:tcW w:w="150" w:type="dxa"/>
            <w:tcBorders/>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50" w:type="dxa"/>
            <w:tcBorders/>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283"/>
              <w:jc w:val="left"/>
              <w:rPr>
                <w:b/>
              </w:rPr>
            </w:pPr>
            <w:r>
              <w:rPr>
                <w:b/>
              </w:rPr>
              <w:t>Interest Income:</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283"/>
              <w:jc w:val="left"/>
              <w:rPr/>
            </w:pPr>
            <w:r>
              <w:rPr/>
              <w:t>Interest from investments</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Non-controlled, non-affiliated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pPr>
            <w:r>
              <w:rPr/>
              <w:t>Cash</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2,437,421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3,758,928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7,237,718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9,708,993</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Payment in-kind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349,010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213,590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627,201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832,055</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pPr>
            <w:r>
              <w:rPr/>
              <w:t>Affiliated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582,491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1,884,957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pPr>
            <w:r>
              <w:rPr/>
              <w:t>Payment in-kind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314,673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764,594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Controlled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pPr>
            <w:r>
              <w:rPr/>
              <w:t>Cash</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671,985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607,929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1,843,148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1,822,914</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Total 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4,355,580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4,580,447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12,357,618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12,363,962</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pPr>
            <w:r>
              <w:rPr/>
              <w:t>Dividend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Non-controlled, non-affiliated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420,369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247,322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1,644,616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1,221,852</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pPr>
            <w:r>
              <w:rPr/>
              <w:t>Affiliated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268,540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254,231</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Controlled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1,391,618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617,056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3,298,977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3,597,022</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pPr>
            <w:r>
              <w:rPr/>
              <w:t>Total dividend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1,811,987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864,378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5,212,133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5,073,105</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Interest from 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28,038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27,804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132,275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132,557</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pPr>
            <w:r>
              <w:rPr/>
              <w:t>Fee income (see Note 9)</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255,318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684,330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607,525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822,841</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b/>
              </w:rPr>
            </w:pPr>
            <w:r>
              <w:rPr>
                <w:b/>
              </w:rPr>
              <w:t>Total Investment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6,450,923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6,156,959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18,309,551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18,392,465</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b/>
              </w:rPr>
            </w:pPr>
            <w:r>
              <w:rPr>
                <w:b/>
              </w:rPr>
              <w:t>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pPr>
            <w:r>
              <w:rPr/>
              <w:t>Interest and financing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2,319,759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2,660,472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7,060,672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7,785,246</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Salaries and benefits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1,078,675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1,237,767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3,064,684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3,451,438</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pPr>
            <w:r>
              <w:rPr/>
              <w:t>Professional fees,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285,347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304,540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1,085,619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1,300,518</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355,438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398,494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1,078,416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928,026</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pPr>
            <w:r>
              <w:rPr/>
              <w:t>Directors fees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152,500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204,000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525,928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612,000</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Administrator expenses (see Note 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109,123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106,740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320,407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303,924</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pPr>
            <w:r>
              <w:rPr/>
              <w:t>Insurance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74,812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87,460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224,436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262,379</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Total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4,375,654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4,999,473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13,360,162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14,643,531</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b/>
              </w:rPr>
            </w:pPr>
            <w:r>
              <w:rPr>
                <w:b/>
              </w:rPr>
              <w:t>Net Investment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2,075,269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1,157,486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4,949,389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3,748,934</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b/>
              </w:rPr>
            </w:pPr>
            <w:r>
              <w:rPr>
                <w:b/>
              </w:rPr>
              <w:t>Realized and unrealized gains (losses) on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Net realized gains (losses):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pPr>
            <w:r>
              <w:rPr/>
              <w:t>Non-controlled, non-affiliated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411,093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(1,665,458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(17,385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(1,561,801</w:t>
            </w:r>
          </w:p>
        </w:tc>
        <w:tc>
          <w:tcPr>
            <w:tcW w:w="150" w:type="dxa"/>
            <w:tcBorders/>
            <w:vAlign w:val="center"/>
          </w:tcPr>
          <w:p>
            <w:pPr>
              <w:pStyle w:val="TableContents"/>
              <w:bidi w:val="0"/>
              <w:spacing w:before="0" w:after="283"/>
              <w:ind w:left="0" w:right="0" w:hanging="180"/>
              <w:jc w:val="left"/>
              <w:rPr/>
            </w:pPr>
            <w:r>
              <w:rPr/>
              <w:t>)</w:t>
            </w:r>
          </w:p>
        </w:tc>
      </w:tr>
      <w:tr>
        <w:trPr/>
        <w:tc>
          <w:tcPr>
            <w:tcW w:w="4015" w:type="dxa"/>
            <w:tcBorders/>
            <w:shd w:fill="CCEEFF" w:val="clear"/>
            <w:vAlign w:val="center"/>
          </w:tcPr>
          <w:p>
            <w:pPr>
              <w:pStyle w:val="TableContents"/>
              <w:bidi w:val="0"/>
              <w:spacing w:before="0" w:after="283"/>
              <w:jc w:val="left"/>
              <w:rPr/>
            </w:pPr>
            <w:r>
              <w:rPr/>
              <w:t>Affiliated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(10,320,353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3,162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(10,320,353</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015" w:type="dxa"/>
            <w:tcBorders/>
            <w:vAlign w:val="center"/>
          </w:tcPr>
          <w:p>
            <w:pPr>
              <w:pStyle w:val="TableContents"/>
              <w:bidi w:val="0"/>
              <w:spacing w:before="0" w:after="283"/>
              <w:jc w:val="left"/>
              <w:rPr/>
            </w:pPr>
            <w:r>
              <w:rPr/>
              <w:t>Controlled investments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0"/>
              <w:jc w:val="right"/>
              <w:rPr/>
            </w:pPr>
            <w:r>
              <w:rPr/>
              <w:t>-</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b/>
              </w:rPr>
            </w:pPr>
            <w:r>
              <w:rPr>
                <w:b/>
              </w:rPr>
              <w:t>Total net realized gains (losses)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410,759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(11,985,811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(14,223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(11,882,154</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015" w:type="dxa"/>
            <w:tcBorders/>
            <w:vAlign w:val="center"/>
          </w:tcPr>
          <w:p>
            <w:pPr>
              <w:pStyle w:val="TableContents"/>
              <w:bidi w:val="0"/>
              <w:spacing w:before="0" w:after="283"/>
              <w:jc w:val="left"/>
              <w:rPr/>
            </w:pPr>
            <w:r>
              <w:rPr/>
              <w:t>Net change in unrealized gains (losses):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Non-controlled, non-affiliated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1,124,905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(18,517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(3,017,289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1,973,193</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pPr>
            <w:r>
              <w:rPr/>
              <w:t>Affiliated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(1,067,771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8,379,055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(2,110,960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7,397,502</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Controlled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1,767,513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914,813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1,468,108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(892,789</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015" w:type="dxa"/>
            <w:tcBorders/>
            <w:vAlign w:val="center"/>
          </w:tcPr>
          <w:p>
            <w:pPr>
              <w:pStyle w:val="TableContents"/>
              <w:bidi w:val="0"/>
              <w:spacing w:before="0" w:after="283"/>
              <w:jc w:val="left"/>
              <w:rPr>
                <w:b/>
              </w:rPr>
            </w:pPr>
            <w:r>
              <w:rPr>
                <w:b/>
              </w:rPr>
              <w:t>Total net change in unrealized gains (losses)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1,824,647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9,275,351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(3,660,141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8,477,906</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Deferred tax benefit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(86,737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55,511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(676,181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(274,125</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015" w:type="dxa"/>
            <w:tcBorders/>
            <w:vAlign w:val="center"/>
          </w:tcPr>
          <w:p>
            <w:pPr>
              <w:pStyle w:val="TableContents"/>
              <w:bidi w:val="0"/>
              <w:spacing w:before="0" w:after="283"/>
              <w:jc w:val="left"/>
              <w:rPr/>
            </w:pPr>
            <w:r>
              <w:rPr/>
              <w:t>Loss on Extinguishment of Debt (see Note 5)</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(12,314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0"/>
              <w:jc w:val="right"/>
              <w:rPr/>
            </w:pPr>
            <w:r>
              <w:rPr/>
              <w:t>-</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b/>
              </w:rPr>
            </w:pPr>
            <w:r>
              <w:rPr>
                <w:b/>
              </w:rPr>
              <w:t>Total realized and unrealized gains (losses)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2,148,669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(2,654,949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(4,362,859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(3,678,373</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0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b/>
              </w:rPr>
            </w:pPr>
            <w:r>
              <w:rPr>
                <w:b/>
              </w:rPr>
              <w:t>Net Increase (Decrease) in Net Assets Resulting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4,223,938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(1,497,463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586,530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70,561</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4015" w:type="dxa"/>
            <w:tcBorders/>
            <w:shd w:fill="CCEEFF" w:val="clear"/>
            <w:vAlign w:val="center"/>
          </w:tcPr>
          <w:p>
            <w:pPr>
              <w:pStyle w:val="TableContents"/>
              <w:bidi w:val="0"/>
              <w:spacing w:before="0" w:after="283"/>
              <w:jc w:val="left"/>
              <w:rPr/>
            </w:pPr>
            <w:r>
              <w:rPr/>
              <w:t>Weighted average basic and diluted earnings per common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(0.74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0.30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0.03</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015" w:type="dxa"/>
            <w:tcBorders/>
            <w:vAlign w:val="center"/>
          </w:tcPr>
          <w:p>
            <w:pPr>
              <w:pStyle w:val="TableContents"/>
              <w:bidi w:val="0"/>
              <w:spacing w:before="0" w:after="283"/>
              <w:jc w:val="left"/>
              <w:rPr/>
            </w:pPr>
            <w:r>
              <w:rPr/>
              <w:t>Weighted average common shares outstanding - basic and diluted (see Note 11)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1,932,597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2,017,330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1,969,108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2,018,962</w:t>
            </w:r>
          </w:p>
        </w:tc>
        <w:tc>
          <w:tcPr>
            <w:tcW w:w="15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bookmarkStart w:id="4" w:name="aa_003"/>
      <w:bookmarkEnd w:id="4"/>
      <w:r>
        <w:rPr>
          <w:rFonts w:ascii="Times New Roman;Times;Serif" w:hAnsi="Times New Roman;Times;Serif"/>
          <w:b/>
          <w:i w:val="false"/>
          <w:caps w:val="false"/>
          <w:smallCaps w:val="false"/>
          <w:sz w:val="20"/>
        </w:rPr>
        <w:t>Consolidated Statements of Changes in Net Assets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1"/>
        <w:gridCol w:w="90"/>
        <w:gridCol w:w="90"/>
        <w:gridCol w:w="770"/>
        <w:gridCol w:w="110"/>
        <w:gridCol w:w="90"/>
        <w:gridCol w:w="213"/>
        <w:gridCol w:w="699"/>
        <w:gridCol w:w="110"/>
        <w:gridCol w:w="90"/>
        <w:gridCol w:w="140"/>
        <w:gridCol w:w="950"/>
        <w:gridCol w:w="110"/>
        <w:gridCol w:w="90"/>
        <w:gridCol w:w="150"/>
        <w:gridCol w:w="1089"/>
        <w:gridCol w:w="110"/>
        <w:gridCol w:w="90"/>
        <w:gridCol w:w="162"/>
        <w:gridCol w:w="1100"/>
        <w:gridCol w:w="151"/>
      </w:tblGrid>
      <w:tr>
        <w:trPr/>
        <w:tc>
          <w:tcPr>
            <w:tcW w:w="380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262" w:type="dxa"/>
            <w:gridSpan w:val="10"/>
            <w:tcBorders>
              <w:bottom w:val="single" w:sz="12" w:space="0" w:color="000000"/>
            </w:tcBorders>
            <w:tcMar>
              <w:bottom w:w="28" w:type="dxa"/>
            </w:tcMar>
            <w:vAlign w:val="center"/>
          </w:tcPr>
          <w:p>
            <w:pPr>
              <w:pStyle w:val="TableContents"/>
              <w:bidi w:val="0"/>
              <w:spacing w:before="0" w:after="283"/>
              <w:jc w:val="center"/>
              <w:rPr>
                <w:b/>
                <w:sz w:val="18"/>
              </w:rPr>
            </w:pPr>
            <w:r>
              <w:rPr>
                <w:b/>
                <w:sz w:val="18"/>
              </w:rPr>
              <w:t>Common Stock</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center"/>
              <w:rPr/>
            </w:pPr>
            <w:r>
              <w:rPr/>
              <w:t> </w:t>
            </w:r>
          </w:p>
        </w:tc>
        <w:tc>
          <w:tcPr>
            <w:tcW w:w="151" w:type="dxa"/>
            <w:tcBorders/>
            <w:vAlign w:val="center"/>
          </w:tcPr>
          <w:p>
            <w:pPr>
              <w:pStyle w:val="TableContents"/>
              <w:bidi w:val="0"/>
              <w:spacing w:before="0" w:after="283"/>
              <w:jc w:val="left"/>
              <w:rPr/>
            </w:pPr>
            <w:r>
              <w:rPr/>
              <w:t> </w:t>
            </w:r>
          </w:p>
        </w:tc>
      </w:tr>
      <w:tr>
        <w:trPr/>
        <w:tc>
          <w:tcPr>
            <w:tcW w:w="380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Shares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2"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Par Amount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Capital in</w:t>
              <w:br/>
              <w:t xml:space="preserve">Excess </w:t>
              <w:br/>
              <w:t>of Par Value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9"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Total</w:t>
              <w:br/>
              <w:t>Distributable</w:t>
              <w:br/>
              <w:t>Earnings/(Loss)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2"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Total  Net Assets</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b/>
                <w:sz w:val="18"/>
              </w:rPr>
            </w:pPr>
            <w:r>
              <w:rPr>
                <w:b/>
                <w:sz w:val="18"/>
              </w:rPr>
              <w:t>Balance at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2,019,778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18"/>
              </w:rPr>
            </w:pPr>
            <w:r>
              <w:rPr>
                <w:sz w:val="18"/>
              </w:rPr>
              <w:t>$</w:t>
            </w:r>
          </w:p>
        </w:tc>
        <w:tc>
          <w:tcPr>
            <w:tcW w:w="699" w:type="dxa"/>
            <w:tcBorders/>
            <w:shd w:fill="CCEEFF" w:val="clear"/>
            <w:vAlign w:val="center"/>
          </w:tcPr>
          <w:p>
            <w:pPr>
              <w:pStyle w:val="TableContents"/>
              <w:bidi w:val="0"/>
              <w:spacing w:before="0" w:after="283"/>
              <w:jc w:val="right"/>
              <w:rPr>
                <w:sz w:val="18"/>
              </w:rPr>
            </w:pPr>
            <w:r>
              <w:rPr>
                <w:sz w:val="18"/>
              </w:rPr>
              <w:t>2,020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950" w:type="dxa"/>
            <w:tcBorders/>
            <w:shd w:fill="CCEEFF" w:val="clear"/>
            <w:vAlign w:val="center"/>
          </w:tcPr>
          <w:p>
            <w:pPr>
              <w:pStyle w:val="TableContents"/>
              <w:bidi w:val="0"/>
              <w:spacing w:before="0" w:after="283"/>
              <w:jc w:val="right"/>
              <w:rPr>
                <w:sz w:val="18"/>
              </w:rPr>
            </w:pPr>
            <w:r>
              <w:rPr>
                <w:sz w:val="18"/>
              </w:rPr>
              <w:t>704,909,588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1089" w:type="dxa"/>
            <w:tcBorders/>
            <w:shd w:fill="CCEEFF" w:val="clear"/>
            <w:vAlign w:val="center"/>
          </w:tcPr>
          <w:p>
            <w:pPr>
              <w:pStyle w:val="TableContents"/>
              <w:bidi w:val="0"/>
              <w:spacing w:before="0" w:after="283"/>
              <w:jc w:val="right"/>
              <w:rPr>
                <w:sz w:val="18"/>
              </w:rPr>
            </w:pPr>
            <w:r>
              <w:rPr>
                <w:sz w:val="18"/>
              </w:rPr>
              <w:t>(545,924,094</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18"/>
              </w:rPr>
            </w:pPr>
            <w:r>
              <w:rPr>
                <w:sz w:val="18"/>
              </w:rPr>
              <w:t>$</w:t>
            </w:r>
          </w:p>
        </w:tc>
        <w:tc>
          <w:tcPr>
            <w:tcW w:w="1100" w:type="dxa"/>
            <w:tcBorders/>
            <w:shd w:fill="CCEEFF" w:val="clear"/>
            <w:vAlign w:val="center"/>
          </w:tcPr>
          <w:p>
            <w:pPr>
              <w:pStyle w:val="TableContents"/>
              <w:bidi w:val="0"/>
              <w:spacing w:before="0" w:after="283"/>
              <w:jc w:val="right"/>
              <w:rPr>
                <w:sz w:val="18"/>
              </w:rPr>
            </w:pPr>
            <w:r>
              <w:rPr>
                <w:sz w:val="18"/>
              </w:rPr>
              <w:t>158,987,514</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3801" w:type="dxa"/>
            <w:tcBorders/>
            <w:vAlign w:val="center"/>
          </w:tcPr>
          <w:p>
            <w:pPr>
              <w:pStyle w:val="TableContents"/>
              <w:bidi w:val="0"/>
              <w:spacing w:before="0" w:after="283"/>
              <w:jc w:val="left"/>
              <w:rPr>
                <w:sz w:val="18"/>
              </w:rPr>
            </w:pPr>
            <w:r>
              <w:rPr>
                <w:sz w:val="18"/>
              </w:rPr>
              <w:t>OPERATIONS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sz w:val="18"/>
              </w:rPr>
            </w:pPr>
            <w:r>
              <w:rPr>
                <w:sz w:val="18"/>
              </w:rPr>
              <w:t>Net investment income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sz w:val="18"/>
              </w:rPr>
            </w:pPr>
            <w:r>
              <w:rPr>
                <w:sz w:val="18"/>
              </w:rPr>
              <w:t>1,157,486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18"/>
              </w:rPr>
            </w:pPr>
            <w:r>
              <w:rPr>
                <w:sz w:val="18"/>
              </w:rPr>
              <w:t>1,157,486</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3801" w:type="dxa"/>
            <w:tcBorders/>
            <w:vAlign w:val="center"/>
          </w:tcPr>
          <w:p>
            <w:pPr>
              <w:pStyle w:val="TableContents"/>
              <w:bidi w:val="0"/>
              <w:spacing w:before="0" w:after="283"/>
              <w:jc w:val="left"/>
              <w:rPr>
                <w:sz w:val="18"/>
              </w:rPr>
            </w:pPr>
            <w:r>
              <w:rPr>
                <w:sz w:val="18"/>
              </w:rPr>
              <w:t>Net realized gains (losses) on investments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sz w:val="18"/>
              </w:rPr>
            </w:pPr>
            <w:r>
              <w:rPr>
                <w:sz w:val="18"/>
              </w:rPr>
              <w:t>(11,985,811</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sz w:val="18"/>
              </w:rPr>
            </w:pPr>
            <w:r>
              <w:rPr>
                <w:sz w:val="18"/>
              </w:rPr>
              <w:t>(11,985,811</w:t>
            </w:r>
          </w:p>
        </w:tc>
        <w:tc>
          <w:tcPr>
            <w:tcW w:w="151" w:type="dxa"/>
            <w:tcBorders/>
            <w:vAlign w:val="center"/>
          </w:tcPr>
          <w:p>
            <w:pPr>
              <w:pStyle w:val="TableContents"/>
              <w:bidi w:val="0"/>
              <w:spacing w:before="0" w:after="283"/>
              <w:ind w:left="0" w:right="0" w:hanging="180"/>
              <w:jc w:val="left"/>
              <w:rPr>
                <w:sz w:val="18"/>
              </w:rPr>
            </w:pPr>
            <w:r>
              <w:rPr>
                <w:sz w:val="18"/>
              </w:rPr>
              <w:t>)</w:t>
            </w:r>
          </w:p>
        </w:tc>
      </w:tr>
      <w:tr>
        <w:trPr/>
        <w:tc>
          <w:tcPr>
            <w:tcW w:w="3801" w:type="dxa"/>
            <w:tcBorders/>
            <w:shd w:fill="CCEEFF" w:val="clear"/>
            <w:vAlign w:val="center"/>
          </w:tcPr>
          <w:p>
            <w:pPr>
              <w:pStyle w:val="TableContents"/>
              <w:bidi w:val="0"/>
              <w:spacing w:before="0" w:after="283"/>
              <w:jc w:val="left"/>
              <w:rPr>
                <w:sz w:val="18"/>
              </w:rPr>
            </w:pPr>
            <w:r>
              <w:rPr>
                <w:sz w:val="18"/>
              </w:rPr>
              <w:t>Net change in unrealized appreciation (depreciation) on investments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sz w:val="18"/>
              </w:rPr>
            </w:pPr>
            <w:r>
              <w:rPr>
                <w:sz w:val="18"/>
              </w:rPr>
              <w:t>9,275,351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18"/>
              </w:rPr>
            </w:pPr>
            <w:r>
              <w:rPr>
                <w:sz w:val="18"/>
              </w:rPr>
              <w:t>9,275,351</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3801" w:type="dxa"/>
            <w:tcBorders/>
            <w:vAlign w:val="center"/>
          </w:tcPr>
          <w:p>
            <w:pPr>
              <w:pStyle w:val="TableContents"/>
              <w:bidi w:val="0"/>
              <w:spacing w:before="0" w:after="283"/>
              <w:jc w:val="left"/>
              <w:rPr>
                <w:sz w:val="18"/>
              </w:rPr>
            </w:pPr>
            <w:r>
              <w:rPr>
                <w:sz w:val="18"/>
              </w:rPr>
              <w:t>Deferred tax benefit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sz w:val="18"/>
              </w:rPr>
            </w:pPr>
            <w:r>
              <w:rPr>
                <w:sz w:val="18"/>
              </w:rPr>
              <w:t>55,511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sz w:val="18"/>
              </w:rPr>
            </w:pPr>
            <w:r>
              <w:rPr>
                <w:sz w:val="18"/>
              </w:rPr>
              <w:t>55,511</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sz w:val="18"/>
              </w:rPr>
            </w:pPr>
            <w:r>
              <w:rPr>
                <w:sz w:val="18"/>
              </w:rPr>
              <w:t>CAPITAL SHARE TRANSACTIONS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3801" w:type="dxa"/>
            <w:tcBorders/>
            <w:vAlign w:val="center"/>
          </w:tcPr>
          <w:p>
            <w:pPr>
              <w:pStyle w:val="TableContents"/>
              <w:bidi w:val="0"/>
              <w:spacing w:before="0" w:after="283"/>
              <w:jc w:val="left"/>
              <w:rPr>
                <w:sz w:val="18"/>
              </w:rPr>
            </w:pPr>
            <w:r>
              <w:rPr>
                <w:sz w:val="18"/>
              </w:rPr>
              <w:t>Distributions declared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sz w:val="18"/>
              </w:rPr>
            </w:pPr>
            <w:r>
              <w:rPr>
                <w:sz w:val="18"/>
              </w:rPr>
              <w:t>Repurchase of common shares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(15,909</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(16</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(795,916</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(795,932</w:t>
            </w:r>
          </w:p>
        </w:tc>
        <w:tc>
          <w:tcPr>
            <w:tcW w:w="151"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3801" w:type="dxa"/>
            <w:tcBorders/>
            <w:vAlign w:val="center"/>
          </w:tcPr>
          <w:p>
            <w:pPr>
              <w:pStyle w:val="TableContents"/>
              <w:bidi w:val="0"/>
              <w:spacing w:before="0" w:after="283"/>
              <w:jc w:val="left"/>
              <w:rPr>
                <w:b/>
                <w:sz w:val="18"/>
              </w:rPr>
            </w:pPr>
            <w:r>
              <w:rPr>
                <w:b/>
                <w:sz w:val="18"/>
              </w:rPr>
              <w:t>Total Increase (Decrease) in Net Assets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sz w:val="18"/>
              </w:rPr>
            </w:pPr>
            <w:r>
              <w:rPr>
                <w:sz w:val="18"/>
              </w:rPr>
              <w:t>(15,909</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213" w:type="dxa"/>
            <w:tcBorders>
              <w:bottom w:val="single" w:sz="12" w:space="0" w:color="000000"/>
            </w:tcBorders>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tcMar>
              <w:bottom w:w="28" w:type="dxa"/>
            </w:tcMar>
            <w:vAlign w:val="center"/>
          </w:tcPr>
          <w:p>
            <w:pPr>
              <w:pStyle w:val="TableContents"/>
              <w:bidi w:val="0"/>
              <w:spacing w:before="0" w:after="283"/>
              <w:jc w:val="right"/>
              <w:rPr>
                <w:sz w:val="18"/>
              </w:rPr>
            </w:pPr>
            <w:r>
              <w:rPr>
                <w:sz w:val="18"/>
              </w:rPr>
              <w:t>(16</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sz w:val="18"/>
              </w:rPr>
            </w:pPr>
            <w:r>
              <w:rPr>
                <w:sz w:val="18"/>
              </w:rPr>
              <w:t>(795,916</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tcMar>
              <w:bottom w:w="28" w:type="dxa"/>
            </w:tcMar>
            <w:vAlign w:val="center"/>
          </w:tcPr>
          <w:p>
            <w:pPr>
              <w:pStyle w:val="TableContents"/>
              <w:bidi w:val="0"/>
              <w:spacing w:before="0" w:after="283"/>
              <w:jc w:val="right"/>
              <w:rPr>
                <w:sz w:val="18"/>
              </w:rPr>
            </w:pPr>
            <w:r>
              <w:rPr>
                <w:sz w:val="18"/>
              </w:rPr>
              <w:t>(1,497,463</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sz w:val="18"/>
              </w:rPr>
            </w:pPr>
            <w:r>
              <w:rPr>
                <w:sz w:val="18"/>
              </w:rPr>
              <w:t>(2,293,395</w:t>
            </w:r>
          </w:p>
        </w:tc>
        <w:tc>
          <w:tcPr>
            <w:tcW w:w="151" w:type="dxa"/>
            <w:tcBorders/>
            <w:vAlign w:val="center"/>
          </w:tcPr>
          <w:p>
            <w:pPr>
              <w:pStyle w:val="TableContents"/>
              <w:bidi w:val="0"/>
              <w:spacing w:before="0" w:after="283"/>
              <w:ind w:left="0" w:right="0" w:hanging="180"/>
              <w:jc w:val="left"/>
              <w:rPr>
                <w:sz w:val="18"/>
              </w:rPr>
            </w:pPr>
            <w:r>
              <w:rPr>
                <w:sz w:val="18"/>
              </w:rPr>
              <w:t>)</w:t>
            </w:r>
          </w:p>
        </w:tc>
      </w:tr>
      <w:tr>
        <w:trPr/>
        <w:tc>
          <w:tcPr>
            <w:tcW w:w="380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3801" w:type="dxa"/>
            <w:tcBorders/>
            <w:vAlign w:val="center"/>
          </w:tcPr>
          <w:p>
            <w:pPr>
              <w:pStyle w:val="TableContents"/>
              <w:bidi w:val="0"/>
              <w:spacing w:before="0" w:after="283"/>
              <w:jc w:val="left"/>
              <w:rPr>
                <w:b/>
                <w:sz w:val="18"/>
              </w:rPr>
            </w:pPr>
            <w:r>
              <w:rPr>
                <w:b/>
                <w:sz w:val="18"/>
              </w:rPr>
              <w:t>Balance at June 30, 2025</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tcMar>
              <w:bottom w:w="28" w:type="dxa"/>
            </w:tcMar>
            <w:vAlign w:val="center"/>
          </w:tcPr>
          <w:p>
            <w:pPr>
              <w:pStyle w:val="TableContents"/>
              <w:bidi w:val="0"/>
              <w:spacing w:before="0" w:after="283"/>
              <w:jc w:val="right"/>
              <w:rPr>
                <w:sz w:val="18"/>
              </w:rPr>
            </w:pPr>
            <w:r>
              <w:rPr>
                <w:sz w:val="18"/>
              </w:rPr>
              <w:t>2,003,869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bottom w:val="double" w:sz="10" w:space="0" w:color="000000"/>
            </w:tcBorders>
            <w:tcMar>
              <w:bottom w:w="28" w:type="dxa"/>
            </w:tcMar>
            <w:vAlign w:val="center"/>
          </w:tcPr>
          <w:p>
            <w:pPr>
              <w:pStyle w:val="TableContents"/>
              <w:bidi w:val="0"/>
              <w:spacing w:before="0" w:after="283"/>
              <w:jc w:val="left"/>
              <w:rPr>
                <w:sz w:val="18"/>
              </w:rPr>
            </w:pPr>
            <w:r>
              <w:rPr>
                <w:sz w:val="18"/>
              </w:rPr>
              <w:t>$</w:t>
            </w:r>
          </w:p>
        </w:tc>
        <w:tc>
          <w:tcPr>
            <w:tcW w:w="699" w:type="dxa"/>
            <w:tcBorders>
              <w:bottom w:val="double" w:sz="10" w:space="0" w:color="000000"/>
            </w:tcBorders>
            <w:tcMar>
              <w:bottom w:w="28" w:type="dxa"/>
            </w:tcMar>
            <w:vAlign w:val="center"/>
          </w:tcPr>
          <w:p>
            <w:pPr>
              <w:pStyle w:val="TableContents"/>
              <w:bidi w:val="0"/>
              <w:spacing w:before="0" w:after="283"/>
              <w:jc w:val="right"/>
              <w:rPr>
                <w:sz w:val="18"/>
              </w:rPr>
            </w:pPr>
            <w:r>
              <w:rPr>
                <w:sz w:val="18"/>
              </w:rPr>
              <w:t>2,004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sz w:val="18"/>
              </w:rPr>
            </w:pPr>
            <w:r>
              <w:rPr>
                <w:sz w:val="18"/>
              </w:rPr>
              <w:t>$</w:t>
            </w:r>
          </w:p>
        </w:tc>
        <w:tc>
          <w:tcPr>
            <w:tcW w:w="950" w:type="dxa"/>
            <w:tcBorders>
              <w:bottom w:val="double" w:sz="10" w:space="0" w:color="000000"/>
            </w:tcBorders>
            <w:tcMar>
              <w:bottom w:w="28" w:type="dxa"/>
            </w:tcMar>
            <w:vAlign w:val="center"/>
          </w:tcPr>
          <w:p>
            <w:pPr>
              <w:pStyle w:val="TableContents"/>
              <w:bidi w:val="0"/>
              <w:spacing w:before="0" w:after="283"/>
              <w:jc w:val="right"/>
              <w:rPr>
                <w:sz w:val="18"/>
              </w:rPr>
            </w:pPr>
            <w:r>
              <w:rPr>
                <w:sz w:val="18"/>
              </w:rPr>
              <w:t>704,113,672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bottom w:val="double" w:sz="10" w:space="0" w:color="000000"/>
            </w:tcBorders>
            <w:tcMar>
              <w:bottom w:w="28" w:type="dxa"/>
            </w:tcMar>
            <w:vAlign w:val="center"/>
          </w:tcPr>
          <w:p>
            <w:pPr>
              <w:pStyle w:val="TableContents"/>
              <w:bidi w:val="0"/>
              <w:spacing w:before="0" w:after="283"/>
              <w:jc w:val="left"/>
              <w:rPr>
                <w:sz w:val="18"/>
              </w:rPr>
            </w:pPr>
            <w:r>
              <w:rPr>
                <w:sz w:val="18"/>
              </w:rPr>
              <w:t>$</w:t>
            </w:r>
          </w:p>
        </w:tc>
        <w:tc>
          <w:tcPr>
            <w:tcW w:w="1089" w:type="dxa"/>
            <w:tcBorders>
              <w:bottom w:val="double" w:sz="10" w:space="0" w:color="000000"/>
            </w:tcBorders>
            <w:tcMar>
              <w:bottom w:w="28" w:type="dxa"/>
            </w:tcMar>
            <w:vAlign w:val="center"/>
          </w:tcPr>
          <w:p>
            <w:pPr>
              <w:pStyle w:val="TableContents"/>
              <w:bidi w:val="0"/>
              <w:spacing w:before="0" w:after="283"/>
              <w:jc w:val="right"/>
              <w:rPr>
                <w:sz w:val="18"/>
              </w:rPr>
            </w:pPr>
            <w:r>
              <w:rPr>
                <w:sz w:val="18"/>
              </w:rPr>
              <w:t>(547,421,557</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62" w:type="dxa"/>
            <w:tcBorders>
              <w:bottom w:val="double" w:sz="10" w:space="0" w:color="000000"/>
            </w:tcBorders>
            <w:tcMar>
              <w:bottom w:w="28" w:type="dxa"/>
            </w:tcMar>
            <w:vAlign w:val="center"/>
          </w:tcPr>
          <w:p>
            <w:pPr>
              <w:pStyle w:val="TableContents"/>
              <w:bidi w:val="0"/>
              <w:spacing w:before="0" w:after="283"/>
              <w:jc w:val="left"/>
              <w:rPr>
                <w:sz w:val="18"/>
              </w:rPr>
            </w:pPr>
            <w:r>
              <w:rPr>
                <w:sz w:val="18"/>
              </w:rPr>
              <w:t>$</w:t>
            </w:r>
          </w:p>
        </w:tc>
        <w:tc>
          <w:tcPr>
            <w:tcW w:w="1100" w:type="dxa"/>
            <w:tcBorders>
              <w:bottom w:val="double" w:sz="10" w:space="0" w:color="000000"/>
            </w:tcBorders>
            <w:tcMar>
              <w:bottom w:w="28" w:type="dxa"/>
            </w:tcMar>
            <w:vAlign w:val="center"/>
          </w:tcPr>
          <w:p>
            <w:pPr>
              <w:pStyle w:val="TableContents"/>
              <w:bidi w:val="0"/>
              <w:spacing w:before="0" w:after="283"/>
              <w:jc w:val="right"/>
              <w:rPr>
                <w:sz w:val="18"/>
              </w:rPr>
            </w:pPr>
            <w:r>
              <w:rPr>
                <w:sz w:val="18"/>
              </w:rPr>
              <w:t>156,694,119</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3801" w:type="dxa"/>
            <w:tcBorders/>
            <w:vAlign w:val="center"/>
          </w:tcPr>
          <w:p>
            <w:pPr>
              <w:pStyle w:val="TableContents"/>
              <w:bidi w:val="0"/>
              <w:spacing w:before="0" w:after="283"/>
              <w:jc w:val="left"/>
              <w:rPr>
                <w:b/>
                <w:sz w:val="18"/>
              </w:rPr>
            </w:pPr>
            <w:r>
              <w:rPr>
                <w:b/>
                <w:sz w:val="18"/>
              </w:rPr>
              <w:t>Balance at March 31,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1,933,238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18"/>
              </w:rPr>
            </w:pPr>
            <w:r>
              <w:rPr>
                <w:sz w:val="18"/>
              </w:rPr>
              <w:t>$</w:t>
            </w:r>
          </w:p>
        </w:tc>
        <w:tc>
          <w:tcPr>
            <w:tcW w:w="699" w:type="dxa"/>
            <w:tcBorders/>
            <w:vAlign w:val="center"/>
          </w:tcPr>
          <w:p>
            <w:pPr>
              <w:pStyle w:val="TableContents"/>
              <w:bidi w:val="0"/>
              <w:spacing w:before="0" w:after="283"/>
              <w:jc w:val="right"/>
              <w:rPr>
                <w:sz w:val="18"/>
              </w:rPr>
            </w:pPr>
            <w:r>
              <w:rPr>
                <w:sz w:val="18"/>
              </w:rPr>
              <w:t>1,933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w:t>
            </w:r>
          </w:p>
        </w:tc>
        <w:tc>
          <w:tcPr>
            <w:tcW w:w="950" w:type="dxa"/>
            <w:tcBorders/>
            <w:vAlign w:val="center"/>
          </w:tcPr>
          <w:p>
            <w:pPr>
              <w:pStyle w:val="TableContents"/>
              <w:bidi w:val="0"/>
              <w:spacing w:before="0" w:after="283"/>
              <w:jc w:val="right"/>
              <w:rPr>
                <w:sz w:val="18"/>
              </w:rPr>
            </w:pPr>
            <w:r>
              <w:rPr>
                <w:sz w:val="18"/>
              </w:rPr>
              <w:t>701,315,531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18"/>
              </w:rPr>
            </w:pPr>
            <w:r>
              <w:rPr>
                <w:sz w:val="18"/>
              </w:rPr>
              <w:t>$</w:t>
            </w:r>
          </w:p>
        </w:tc>
        <w:tc>
          <w:tcPr>
            <w:tcW w:w="1089" w:type="dxa"/>
            <w:tcBorders/>
            <w:vAlign w:val="center"/>
          </w:tcPr>
          <w:p>
            <w:pPr>
              <w:pStyle w:val="TableContents"/>
              <w:bidi w:val="0"/>
              <w:spacing w:before="0" w:after="283"/>
              <w:jc w:val="right"/>
              <w:rPr>
                <w:sz w:val="18"/>
              </w:rPr>
            </w:pPr>
            <w:r>
              <w:rPr>
                <w:sz w:val="18"/>
              </w:rPr>
              <w:t>(547,505,760</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18"/>
              </w:rPr>
            </w:pPr>
            <w:r>
              <w:rPr>
                <w:sz w:val="18"/>
              </w:rPr>
              <w:t>$</w:t>
            </w:r>
          </w:p>
        </w:tc>
        <w:tc>
          <w:tcPr>
            <w:tcW w:w="1100" w:type="dxa"/>
            <w:tcBorders/>
            <w:vAlign w:val="center"/>
          </w:tcPr>
          <w:p>
            <w:pPr>
              <w:pStyle w:val="TableContents"/>
              <w:bidi w:val="0"/>
              <w:spacing w:before="0" w:after="283"/>
              <w:jc w:val="right"/>
              <w:rPr>
                <w:sz w:val="18"/>
              </w:rPr>
            </w:pPr>
            <w:r>
              <w:rPr>
                <w:sz w:val="18"/>
              </w:rPr>
              <w:t>153,811,704</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sz w:val="18"/>
              </w:rPr>
            </w:pPr>
            <w:r>
              <w:rPr>
                <w:sz w:val="18"/>
              </w:rPr>
              <w:t>OPERATIONS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3801" w:type="dxa"/>
            <w:tcBorders/>
            <w:vAlign w:val="center"/>
          </w:tcPr>
          <w:p>
            <w:pPr>
              <w:pStyle w:val="TableContents"/>
              <w:bidi w:val="0"/>
              <w:spacing w:before="0" w:after="283"/>
              <w:jc w:val="left"/>
              <w:rPr>
                <w:sz w:val="18"/>
              </w:rPr>
            </w:pPr>
            <w:r>
              <w:rPr>
                <w:sz w:val="18"/>
              </w:rPr>
              <w:t>Net investment income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sz w:val="18"/>
              </w:rPr>
            </w:pPr>
            <w:r>
              <w:rPr>
                <w:sz w:val="18"/>
              </w:rPr>
              <w:t>2,075,269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sz w:val="18"/>
              </w:rPr>
            </w:pPr>
            <w:r>
              <w:rPr>
                <w:sz w:val="18"/>
              </w:rPr>
              <w:t>2,075,269</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sz w:val="18"/>
              </w:rPr>
            </w:pPr>
            <w:r>
              <w:rPr>
                <w:sz w:val="18"/>
              </w:rPr>
              <w:t>Net realized gains (losses) on investments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sz w:val="18"/>
              </w:rPr>
            </w:pPr>
            <w:r>
              <w:rPr>
                <w:sz w:val="18"/>
              </w:rPr>
              <w:t>410,759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18"/>
              </w:rPr>
            </w:pPr>
            <w:r>
              <w:rPr>
                <w:sz w:val="18"/>
              </w:rPr>
              <w:t>410,759</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3801" w:type="dxa"/>
            <w:tcBorders/>
            <w:vAlign w:val="center"/>
          </w:tcPr>
          <w:p>
            <w:pPr>
              <w:pStyle w:val="TableContents"/>
              <w:bidi w:val="0"/>
              <w:spacing w:before="0" w:after="283"/>
              <w:jc w:val="left"/>
              <w:rPr>
                <w:sz w:val="18"/>
              </w:rPr>
            </w:pPr>
            <w:r>
              <w:rPr>
                <w:sz w:val="18"/>
              </w:rPr>
              <w:t>Net change in unrealized appreciation (depreciation) on investments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sz w:val="18"/>
              </w:rPr>
            </w:pPr>
            <w:r>
              <w:rPr>
                <w:sz w:val="18"/>
              </w:rPr>
              <w:t>1,824,647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sz w:val="18"/>
              </w:rPr>
            </w:pPr>
            <w:r>
              <w:rPr>
                <w:sz w:val="18"/>
              </w:rPr>
              <w:t>1,824,647</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sz w:val="18"/>
              </w:rPr>
            </w:pPr>
            <w:r>
              <w:rPr>
                <w:sz w:val="18"/>
              </w:rPr>
              <w:t>Deferred tax benefit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sz w:val="18"/>
              </w:rPr>
            </w:pPr>
            <w:r>
              <w:rPr>
                <w:sz w:val="18"/>
              </w:rPr>
              <w:t>(86,737</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18"/>
              </w:rPr>
            </w:pPr>
            <w:r>
              <w:rPr>
                <w:sz w:val="18"/>
              </w:rPr>
              <w:t>(86,737</w:t>
            </w:r>
          </w:p>
        </w:tc>
        <w:tc>
          <w:tcPr>
            <w:tcW w:w="151"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3801" w:type="dxa"/>
            <w:tcBorders/>
            <w:vAlign w:val="center"/>
          </w:tcPr>
          <w:p>
            <w:pPr>
              <w:pStyle w:val="TableContents"/>
              <w:bidi w:val="0"/>
              <w:spacing w:before="0" w:after="283"/>
              <w:jc w:val="left"/>
              <w:rPr>
                <w:sz w:val="18"/>
              </w:rPr>
            </w:pPr>
            <w:r>
              <w:rPr>
                <w:sz w:val="18"/>
              </w:rPr>
              <w:t>Loss on Extinguishment of Debt (see Note 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sz w:val="18"/>
              </w:rPr>
            </w:pPr>
            <w:r>
              <w:rPr>
                <w:sz w:val="18"/>
              </w:rPr>
              <w:t>CAPITAL SHARE TRANSACTIONS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3801" w:type="dxa"/>
            <w:tcBorders/>
            <w:vAlign w:val="center"/>
          </w:tcPr>
          <w:p>
            <w:pPr>
              <w:pStyle w:val="TableContents"/>
              <w:bidi w:val="0"/>
              <w:spacing w:before="0" w:after="283"/>
              <w:jc w:val="left"/>
              <w:rPr>
                <w:sz w:val="18"/>
              </w:rPr>
            </w:pPr>
            <w:r>
              <w:rPr>
                <w:sz w:val="18"/>
              </w:rPr>
              <w:t>Distributions declared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sz w:val="18"/>
              </w:rPr>
            </w:pPr>
            <w:r>
              <w:rPr>
                <w:sz w:val="18"/>
              </w:rPr>
              <w:t>(141,563</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sz w:val="18"/>
              </w:rPr>
            </w:pPr>
            <w:r>
              <w:rPr>
                <w:sz w:val="18"/>
              </w:rPr>
              <w:t>(141,563</w:t>
            </w:r>
          </w:p>
        </w:tc>
        <w:tc>
          <w:tcPr>
            <w:tcW w:w="151" w:type="dxa"/>
            <w:tcBorders/>
            <w:vAlign w:val="center"/>
          </w:tcPr>
          <w:p>
            <w:pPr>
              <w:pStyle w:val="TableContents"/>
              <w:bidi w:val="0"/>
              <w:spacing w:before="0" w:after="283"/>
              <w:ind w:left="0" w:right="0" w:hanging="180"/>
              <w:jc w:val="left"/>
              <w:rPr>
                <w:sz w:val="18"/>
              </w:rPr>
            </w:pPr>
            <w:r>
              <w:rPr>
                <w:sz w:val="18"/>
              </w:rPr>
              <w:t>)</w:t>
            </w:r>
          </w:p>
        </w:tc>
      </w:tr>
      <w:tr>
        <w:trPr/>
        <w:tc>
          <w:tcPr>
            <w:tcW w:w="3801" w:type="dxa"/>
            <w:tcBorders/>
            <w:shd w:fill="CCEEFF" w:val="clear"/>
            <w:vAlign w:val="center"/>
          </w:tcPr>
          <w:p>
            <w:pPr>
              <w:pStyle w:val="TableContents"/>
              <w:bidi w:val="0"/>
              <w:spacing w:before="0" w:after="283"/>
              <w:jc w:val="left"/>
              <w:rPr>
                <w:sz w:val="18"/>
              </w:rPr>
            </w:pPr>
            <w:r>
              <w:rPr>
                <w:sz w:val="18"/>
              </w:rPr>
              <w:t>Repurchase of common shares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(765</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(1</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(31,171</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(31,172</w:t>
            </w:r>
          </w:p>
        </w:tc>
        <w:tc>
          <w:tcPr>
            <w:tcW w:w="151"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3801" w:type="dxa"/>
            <w:tcBorders/>
            <w:vAlign w:val="center"/>
          </w:tcPr>
          <w:p>
            <w:pPr>
              <w:pStyle w:val="TableContents"/>
              <w:bidi w:val="0"/>
              <w:spacing w:before="0" w:after="283"/>
              <w:jc w:val="left"/>
              <w:rPr>
                <w:b/>
                <w:sz w:val="18"/>
              </w:rPr>
            </w:pPr>
            <w:r>
              <w:rPr>
                <w:b/>
                <w:sz w:val="18"/>
              </w:rPr>
              <w:t>Total Increase (Decrease) in Net Assets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sz w:val="18"/>
              </w:rPr>
            </w:pPr>
            <w:r>
              <w:rPr>
                <w:sz w:val="18"/>
              </w:rPr>
              <w:t>(765</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213" w:type="dxa"/>
            <w:tcBorders>
              <w:bottom w:val="single" w:sz="12" w:space="0" w:color="000000"/>
            </w:tcBorders>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tcMar>
              <w:bottom w:w="28" w:type="dxa"/>
            </w:tcMar>
            <w:vAlign w:val="center"/>
          </w:tcPr>
          <w:p>
            <w:pPr>
              <w:pStyle w:val="TableContents"/>
              <w:bidi w:val="0"/>
              <w:spacing w:before="0" w:after="283"/>
              <w:jc w:val="right"/>
              <w:rPr>
                <w:sz w:val="18"/>
              </w:rPr>
            </w:pPr>
            <w:r>
              <w:rPr>
                <w:sz w:val="18"/>
              </w:rPr>
              <w:t>(1</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sz w:val="18"/>
              </w:rPr>
            </w:pPr>
            <w:r>
              <w:rPr>
                <w:sz w:val="18"/>
              </w:rPr>
              <w:t>(31,171</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tcMar>
              <w:bottom w:w="28" w:type="dxa"/>
            </w:tcMar>
            <w:vAlign w:val="center"/>
          </w:tcPr>
          <w:p>
            <w:pPr>
              <w:pStyle w:val="TableContents"/>
              <w:bidi w:val="0"/>
              <w:spacing w:before="0" w:after="283"/>
              <w:jc w:val="right"/>
              <w:rPr>
                <w:sz w:val="18"/>
              </w:rPr>
            </w:pPr>
            <w:r>
              <w:rPr>
                <w:sz w:val="18"/>
              </w:rPr>
              <w:t>4,082,375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sz w:val="18"/>
              </w:rPr>
            </w:pPr>
            <w:r>
              <w:rPr>
                <w:sz w:val="18"/>
              </w:rPr>
              <w:t>4,051,203</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3801" w:type="dxa"/>
            <w:tcBorders/>
            <w:vAlign w:val="center"/>
          </w:tcPr>
          <w:p>
            <w:pPr>
              <w:pStyle w:val="TableContents"/>
              <w:bidi w:val="0"/>
              <w:spacing w:before="0" w:after="283"/>
              <w:jc w:val="left"/>
              <w:rPr>
                <w:b/>
                <w:sz w:val="18"/>
              </w:rPr>
            </w:pPr>
            <w:r>
              <w:rPr>
                <w:b/>
                <w:sz w:val="18"/>
              </w:rPr>
              <w:t>Balance at June 30, 2026</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tcMar>
              <w:bottom w:w="28" w:type="dxa"/>
            </w:tcMar>
            <w:vAlign w:val="center"/>
          </w:tcPr>
          <w:p>
            <w:pPr>
              <w:pStyle w:val="TableContents"/>
              <w:bidi w:val="0"/>
              <w:spacing w:before="0" w:after="283"/>
              <w:jc w:val="right"/>
              <w:rPr>
                <w:sz w:val="18"/>
              </w:rPr>
            </w:pPr>
            <w:r>
              <w:rPr>
                <w:sz w:val="18"/>
              </w:rPr>
              <w:t>1,932,473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bottom w:val="double" w:sz="10" w:space="0" w:color="000000"/>
            </w:tcBorders>
            <w:tcMar>
              <w:bottom w:w="28" w:type="dxa"/>
            </w:tcMar>
            <w:vAlign w:val="center"/>
          </w:tcPr>
          <w:p>
            <w:pPr>
              <w:pStyle w:val="TableContents"/>
              <w:bidi w:val="0"/>
              <w:spacing w:before="0" w:after="283"/>
              <w:jc w:val="left"/>
              <w:rPr>
                <w:sz w:val="18"/>
              </w:rPr>
            </w:pPr>
            <w:r>
              <w:rPr>
                <w:sz w:val="18"/>
              </w:rPr>
              <w:t>$</w:t>
            </w:r>
          </w:p>
        </w:tc>
        <w:tc>
          <w:tcPr>
            <w:tcW w:w="699" w:type="dxa"/>
            <w:tcBorders>
              <w:bottom w:val="double" w:sz="10" w:space="0" w:color="000000"/>
            </w:tcBorders>
            <w:tcMar>
              <w:bottom w:w="28" w:type="dxa"/>
            </w:tcMar>
            <w:vAlign w:val="center"/>
          </w:tcPr>
          <w:p>
            <w:pPr>
              <w:pStyle w:val="TableContents"/>
              <w:bidi w:val="0"/>
              <w:spacing w:before="0" w:after="283"/>
              <w:jc w:val="right"/>
              <w:rPr>
                <w:sz w:val="18"/>
              </w:rPr>
            </w:pPr>
            <w:r>
              <w:rPr>
                <w:sz w:val="18"/>
              </w:rPr>
              <w:t>1,932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sz w:val="18"/>
              </w:rPr>
            </w:pPr>
            <w:r>
              <w:rPr>
                <w:sz w:val="18"/>
              </w:rPr>
              <w:t>$</w:t>
            </w:r>
          </w:p>
        </w:tc>
        <w:tc>
          <w:tcPr>
            <w:tcW w:w="950" w:type="dxa"/>
            <w:tcBorders>
              <w:bottom w:val="double" w:sz="10" w:space="0" w:color="000000"/>
            </w:tcBorders>
            <w:tcMar>
              <w:bottom w:w="28" w:type="dxa"/>
            </w:tcMar>
            <w:vAlign w:val="center"/>
          </w:tcPr>
          <w:p>
            <w:pPr>
              <w:pStyle w:val="TableContents"/>
              <w:bidi w:val="0"/>
              <w:spacing w:before="0" w:after="283"/>
              <w:jc w:val="right"/>
              <w:rPr>
                <w:sz w:val="18"/>
              </w:rPr>
            </w:pPr>
            <w:r>
              <w:rPr>
                <w:sz w:val="18"/>
              </w:rPr>
              <w:t>701,284,360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bottom w:val="double" w:sz="10" w:space="0" w:color="000000"/>
            </w:tcBorders>
            <w:tcMar>
              <w:bottom w:w="28" w:type="dxa"/>
            </w:tcMar>
            <w:vAlign w:val="center"/>
          </w:tcPr>
          <w:p>
            <w:pPr>
              <w:pStyle w:val="TableContents"/>
              <w:bidi w:val="0"/>
              <w:spacing w:before="0" w:after="283"/>
              <w:jc w:val="left"/>
              <w:rPr>
                <w:sz w:val="18"/>
              </w:rPr>
            </w:pPr>
            <w:r>
              <w:rPr>
                <w:sz w:val="18"/>
              </w:rPr>
              <w:t>$</w:t>
            </w:r>
          </w:p>
        </w:tc>
        <w:tc>
          <w:tcPr>
            <w:tcW w:w="1089" w:type="dxa"/>
            <w:tcBorders>
              <w:bottom w:val="double" w:sz="10" w:space="0" w:color="000000"/>
            </w:tcBorders>
            <w:tcMar>
              <w:bottom w:w="28" w:type="dxa"/>
            </w:tcMar>
            <w:vAlign w:val="center"/>
          </w:tcPr>
          <w:p>
            <w:pPr>
              <w:pStyle w:val="TableContents"/>
              <w:bidi w:val="0"/>
              <w:spacing w:before="0" w:after="283"/>
              <w:jc w:val="right"/>
              <w:rPr>
                <w:sz w:val="18"/>
              </w:rPr>
            </w:pPr>
            <w:r>
              <w:rPr>
                <w:sz w:val="18"/>
              </w:rPr>
              <w:t>(543,423,385</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62" w:type="dxa"/>
            <w:tcBorders>
              <w:bottom w:val="double" w:sz="10" w:space="0" w:color="000000"/>
            </w:tcBorders>
            <w:tcMar>
              <w:bottom w:w="28" w:type="dxa"/>
            </w:tcMar>
            <w:vAlign w:val="center"/>
          </w:tcPr>
          <w:p>
            <w:pPr>
              <w:pStyle w:val="TableContents"/>
              <w:bidi w:val="0"/>
              <w:spacing w:before="0" w:after="283"/>
              <w:jc w:val="left"/>
              <w:rPr>
                <w:sz w:val="18"/>
              </w:rPr>
            </w:pPr>
            <w:r>
              <w:rPr>
                <w:sz w:val="18"/>
              </w:rPr>
              <w:t>$</w:t>
            </w:r>
          </w:p>
        </w:tc>
        <w:tc>
          <w:tcPr>
            <w:tcW w:w="1100" w:type="dxa"/>
            <w:tcBorders>
              <w:bottom w:val="double" w:sz="10" w:space="0" w:color="000000"/>
            </w:tcBorders>
            <w:tcMar>
              <w:bottom w:w="28" w:type="dxa"/>
            </w:tcMar>
            <w:vAlign w:val="center"/>
          </w:tcPr>
          <w:p>
            <w:pPr>
              <w:pStyle w:val="TableContents"/>
              <w:bidi w:val="0"/>
              <w:spacing w:before="0" w:after="283"/>
              <w:jc w:val="right"/>
              <w:rPr>
                <w:sz w:val="18"/>
              </w:rPr>
            </w:pPr>
            <w:r>
              <w:rPr>
                <w:sz w:val="18"/>
              </w:rPr>
              <w:t>157,862,907</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3801" w:type="dxa"/>
            <w:tcBorders/>
            <w:vAlign w:val="center"/>
          </w:tcPr>
          <w:p>
            <w:pPr>
              <w:pStyle w:val="TableContents"/>
              <w:bidi w:val="0"/>
              <w:spacing w:before="0" w:after="283"/>
              <w:jc w:val="left"/>
              <w:rPr>
                <w:b/>
                <w:sz w:val="18"/>
              </w:rPr>
            </w:pPr>
            <w:r>
              <w:rPr>
                <w:b/>
                <w:sz w:val="18"/>
              </w:rPr>
              <w:t>Balance at September 30, 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2,019,778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18"/>
              </w:rPr>
            </w:pPr>
            <w:r>
              <w:rPr>
                <w:sz w:val="18"/>
              </w:rPr>
              <w:t>$</w:t>
            </w:r>
          </w:p>
        </w:tc>
        <w:tc>
          <w:tcPr>
            <w:tcW w:w="699" w:type="dxa"/>
            <w:tcBorders/>
            <w:vAlign w:val="center"/>
          </w:tcPr>
          <w:p>
            <w:pPr>
              <w:pStyle w:val="TableContents"/>
              <w:bidi w:val="0"/>
              <w:spacing w:before="0" w:after="283"/>
              <w:jc w:val="right"/>
              <w:rPr>
                <w:sz w:val="18"/>
              </w:rPr>
            </w:pPr>
            <w:r>
              <w:rPr>
                <w:sz w:val="18"/>
              </w:rPr>
              <w:t>2,020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w:t>
            </w:r>
          </w:p>
        </w:tc>
        <w:tc>
          <w:tcPr>
            <w:tcW w:w="950" w:type="dxa"/>
            <w:tcBorders/>
            <w:vAlign w:val="center"/>
          </w:tcPr>
          <w:p>
            <w:pPr>
              <w:pStyle w:val="TableContents"/>
              <w:bidi w:val="0"/>
              <w:spacing w:before="0" w:after="283"/>
              <w:jc w:val="right"/>
              <w:rPr>
                <w:sz w:val="18"/>
              </w:rPr>
            </w:pPr>
            <w:r>
              <w:rPr>
                <w:sz w:val="18"/>
              </w:rPr>
              <w:t>704,909,588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18"/>
              </w:rPr>
            </w:pPr>
            <w:r>
              <w:rPr>
                <w:sz w:val="18"/>
              </w:rPr>
              <w:t>$</w:t>
            </w:r>
          </w:p>
        </w:tc>
        <w:tc>
          <w:tcPr>
            <w:tcW w:w="1089" w:type="dxa"/>
            <w:tcBorders/>
            <w:vAlign w:val="center"/>
          </w:tcPr>
          <w:p>
            <w:pPr>
              <w:pStyle w:val="TableContents"/>
              <w:bidi w:val="0"/>
              <w:spacing w:before="0" w:after="283"/>
              <w:jc w:val="right"/>
              <w:rPr>
                <w:sz w:val="18"/>
              </w:rPr>
            </w:pPr>
            <w:r>
              <w:rPr>
                <w:sz w:val="18"/>
              </w:rPr>
              <w:t>(544,603,835</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18"/>
              </w:rPr>
            </w:pPr>
            <w:r>
              <w:rPr>
                <w:sz w:val="18"/>
              </w:rPr>
              <w:t>$</w:t>
            </w:r>
          </w:p>
        </w:tc>
        <w:tc>
          <w:tcPr>
            <w:tcW w:w="1100" w:type="dxa"/>
            <w:tcBorders/>
            <w:vAlign w:val="center"/>
          </w:tcPr>
          <w:p>
            <w:pPr>
              <w:pStyle w:val="TableContents"/>
              <w:bidi w:val="0"/>
              <w:spacing w:before="0" w:after="283"/>
              <w:jc w:val="right"/>
              <w:rPr>
                <w:sz w:val="18"/>
              </w:rPr>
            </w:pPr>
            <w:r>
              <w:rPr>
                <w:sz w:val="18"/>
              </w:rPr>
              <w:t>160,307,773</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sz w:val="18"/>
              </w:rPr>
            </w:pPr>
            <w:r>
              <w:rPr>
                <w:sz w:val="18"/>
              </w:rPr>
              <w:t>OPERATIONS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3801" w:type="dxa"/>
            <w:tcBorders/>
            <w:vAlign w:val="center"/>
          </w:tcPr>
          <w:p>
            <w:pPr>
              <w:pStyle w:val="TableContents"/>
              <w:bidi w:val="0"/>
              <w:spacing w:before="0" w:after="283"/>
              <w:jc w:val="left"/>
              <w:rPr>
                <w:sz w:val="18"/>
              </w:rPr>
            </w:pPr>
            <w:r>
              <w:rPr>
                <w:sz w:val="18"/>
              </w:rPr>
              <w:t>Net investment income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sz w:val="18"/>
              </w:rPr>
            </w:pPr>
            <w:r>
              <w:rPr>
                <w:sz w:val="18"/>
              </w:rPr>
              <w:t>3,748,934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sz w:val="18"/>
              </w:rPr>
            </w:pPr>
            <w:r>
              <w:rPr>
                <w:sz w:val="18"/>
              </w:rPr>
              <w:t>3,748,934</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sz w:val="18"/>
              </w:rPr>
            </w:pPr>
            <w:r>
              <w:rPr>
                <w:sz w:val="18"/>
              </w:rPr>
              <w:t>Net realized gains (losses) on investments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sz w:val="18"/>
              </w:rPr>
            </w:pPr>
            <w:r>
              <w:rPr>
                <w:sz w:val="18"/>
              </w:rPr>
              <w:t>(11,882,154</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18"/>
              </w:rPr>
            </w:pPr>
            <w:r>
              <w:rPr>
                <w:sz w:val="18"/>
              </w:rPr>
              <w:t>(11,882,154</w:t>
            </w:r>
          </w:p>
        </w:tc>
        <w:tc>
          <w:tcPr>
            <w:tcW w:w="151"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3801" w:type="dxa"/>
            <w:tcBorders/>
            <w:vAlign w:val="center"/>
          </w:tcPr>
          <w:p>
            <w:pPr>
              <w:pStyle w:val="TableContents"/>
              <w:bidi w:val="0"/>
              <w:spacing w:before="0" w:after="283"/>
              <w:jc w:val="left"/>
              <w:rPr>
                <w:sz w:val="18"/>
              </w:rPr>
            </w:pPr>
            <w:r>
              <w:rPr>
                <w:sz w:val="18"/>
              </w:rPr>
              <w:t>Net change in unrealized appreciation (depreciation) on investments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sz w:val="18"/>
              </w:rPr>
            </w:pPr>
            <w:r>
              <w:rPr>
                <w:sz w:val="18"/>
              </w:rPr>
              <w:t>8,477,906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sz w:val="18"/>
              </w:rPr>
            </w:pPr>
            <w:r>
              <w:rPr>
                <w:sz w:val="18"/>
              </w:rPr>
              <w:t>8,477,906</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sz w:val="18"/>
              </w:rPr>
            </w:pPr>
            <w:r>
              <w:rPr>
                <w:sz w:val="18"/>
              </w:rPr>
              <w:t>Deferred tax benefit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sz w:val="18"/>
              </w:rPr>
            </w:pPr>
            <w:r>
              <w:rPr>
                <w:sz w:val="18"/>
              </w:rPr>
              <w:t>(274,125</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18"/>
              </w:rPr>
            </w:pPr>
            <w:r>
              <w:rPr>
                <w:sz w:val="18"/>
              </w:rPr>
              <w:t>(274,125</w:t>
            </w:r>
          </w:p>
        </w:tc>
        <w:tc>
          <w:tcPr>
            <w:tcW w:w="151"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3801" w:type="dxa"/>
            <w:tcBorders/>
            <w:vAlign w:val="center"/>
          </w:tcPr>
          <w:p>
            <w:pPr>
              <w:pStyle w:val="TableContents"/>
              <w:bidi w:val="0"/>
              <w:spacing w:before="0" w:after="283"/>
              <w:jc w:val="left"/>
              <w:rPr>
                <w:sz w:val="18"/>
              </w:rPr>
            </w:pPr>
            <w:r>
              <w:rPr>
                <w:sz w:val="18"/>
              </w:rPr>
              <w:t>CAPITAL SHARE TRANSACTIONS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sz w:val="18"/>
              </w:rPr>
            </w:pPr>
            <w:r>
              <w:rPr>
                <w:sz w:val="18"/>
              </w:rPr>
              <w:t>Distributions declared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sz w:val="18"/>
              </w:rPr>
            </w:pPr>
            <w:r>
              <w:rPr>
                <w:sz w:val="18"/>
              </w:rPr>
              <w:t>(2,888,283</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18"/>
              </w:rPr>
            </w:pPr>
            <w:r>
              <w:rPr>
                <w:sz w:val="18"/>
              </w:rPr>
              <w:t>(2,888,283</w:t>
            </w:r>
          </w:p>
        </w:tc>
        <w:tc>
          <w:tcPr>
            <w:tcW w:w="151"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3801" w:type="dxa"/>
            <w:tcBorders/>
            <w:vAlign w:val="center"/>
          </w:tcPr>
          <w:p>
            <w:pPr>
              <w:pStyle w:val="TableContents"/>
              <w:bidi w:val="0"/>
              <w:spacing w:before="0" w:after="283"/>
              <w:jc w:val="left"/>
              <w:rPr>
                <w:sz w:val="18"/>
              </w:rPr>
            </w:pPr>
            <w:r>
              <w:rPr>
                <w:sz w:val="18"/>
              </w:rPr>
              <w:t>Repurchase of common shares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sz w:val="18"/>
              </w:rPr>
            </w:pPr>
            <w:r>
              <w:rPr>
                <w:sz w:val="18"/>
              </w:rPr>
              <w:t>(15,909</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213" w:type="dxa"/>
            <w:tcBorders>
              <w:bottom w:val="single" w:sz="12" w:space="0" w:color="000000"/>
            </w:tcBorders>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tcMar>
              <w:bottom w:w="28" w:type="dxa"/>
            </w:tcMar>
            <w:vAlign w:val="center"/>
          </w:tcPr>
          <w:p>
            <w:pPr>
              <w:pStyle w:val="TableContents"/>
              <w:bidi w:val="0"/>
              <w:spacing w:before="0" w:after="283"/>
              <w:jc w:val="right"/>
              <w:rPr>
                <w:sz w:val="18"/>
              </w:rPr>
            </w:pPr>
            <w:r>
              <w:rPr>
                <w:sz w:val="18"/>
              </w:rPr>
              <w:t>(16</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sz w:val="18"/>
              </w:rPr>
            </w:pPr>
            <w:r>
              <w:rPr>
                <w:sz w:val="18"/>
              </w:rPr>
              <w:t>(795,916</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tcMar>
              <w:bottom w:w="28" w:type="dxa"/>
            </w:tcMar>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sz w:val="18"/>
              </w:rPr>
            </w:pPr>
            <w:r>
              <w:rPr>
                <w:sz w:val="18"/>
              </w:rPr>
              <w:t>(795,932</w:t>
            </w:r>
          </w:p>
        </w:tc>
        <w:tc>
          <w:tcPr>
            <w:tcW w:w="151" w:type="dxa"/>
            <w:tcBorders/>
            <w:vAlign w:val="center"/>
          </w:tcPr>
          <w:p>
            <w:pPr>
              <w:pStyle w:val="TableContents"/>
              <w:bidi w:val="0"/>
              <w:spacing w:before="0" w:after="283"/>
              <w:ind w:left="0" w:right="0" w:hanging="180"/>
              <w:jc w:val="left"/>
              <w:rPr>
                <w:sz w:val="18"/>
              </w:rPr>
            </w:pPr>
            <w:r>
              <w:rPr>
                <w:sz w:val="18"/>
              </w:rPr>
              <w:t>)</w:t>
            </w:r>
          </w:p>
        </w:tc>
      </w:tr>
      <w:tr>
        <w:trPr/>
        <w:tc>
          <w:tcPr>
            <w:tcW w:w="3801" w:type="dxa"/>
            <w:tcBorders/>
            <w:shd w:fill="CCEEFF" w:val="clear"/>
            <w:vAlign w:val="center"/>
          </w:tcPr>
          <w:p>
            <w:pPr>
              <w:pStyle w:val="TableContents"/>
              <w:bidi w:val="0"/>
              <w:spacing w:before="0" w:after="283"/>
              <w:jc w:val="left"/>
              <w:rPr>
                <w:b/>
                <w:sz w:val="18"/>
              </w:rPr>
            </w:pPr>
            <w:r>
              <w:rPr>
                <w:b/>
                <w:sz w:val="18"/>
              </w:rPr>
              <w:t>Total Increase (Decrease) in Net Assets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(15,909</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(16</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(795,916</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(2,817,722</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(3,613,654</w:t>
            </w:r>
          </w:p>
        </w:tc>
        <w:tc>
          <w:tcPr>
            <w:tcW w:w="151"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380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b/>
                <w:sz w:val="18"/>
              </w:rPr>
            </w:pPr>
            <w:r>
              <w:rPr>
                <w:b/>
                <w:sz w:val="18"/>
              </w:rPr>
              <w:t>Balance at June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2,003,869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9"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2,004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704,113,672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(547,421,557</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156,694,119</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38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b/>
                <w:sz w:val="18"/>
              </w:rPr>
            </w:pPr>
            <w:r>
              <w:rPr>
                <w:b/>
                <w:sz w:val="18"/>
              </w:rPr>
              <w:t>Balance at September 30,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2,003,769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18"/>
              </w:rPr>
            </w:pPr>
            <w:r>
              <w:rPr>
                <w:sz w:val="18"/>
              </w:rPr>
              <w:t>$</w:t>
            </w:r>
          </w:p>
        </w:tc>
        <w:tc>
          <w:tcPr>
            <w:tcW w:w="699" w:type="dxa"/>
            <w:tcBorders/>
            <w:shd w:fill="CCEEFF" w:val="clear"/>
            <w:vAlign w:val="center"/>
          </w:tcPr>
          <w:p>
            <w:pPr>
              <w:pStyle w:val="TableContents"/>
              <w:bidi w:val="0"/>
              <w:spacing w:before="0" w:after="283"/>
              <w:jc w:val="right"/>
              <w:rPr>
                <w:sz w:val="18"/>
              </w:rPr>
            </w:pPr>
            <w:r>
              <w:rPr>
                <w:sz w:val="18"/>
              </w:rPr>
              <w:t>2,004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950" w:type="dxa"/>
            <w:tcBorders/>
            <w:shd w:fill="CCEEFF" w:val="clear"/>
            <w:vAlign w:val="center"/>
          </w:tcPr>
          <w:p>
            <w:pPr>
              <w:pStyle w:val="TableContents"/>
              <w:bidi w:val="0"/>
              <w:spacing w:before="0" w:after="283"/>
              <w:jc w:val="right"/>
              <w:rPr>
                <w:sz w:val="18"/>
              </w:rPr>
            </w:pPr>
            <w:r>
              <w:rPr>
                <w:sz w:val="18"/>
              </w:rPr>
              <w:t>704,640,648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1089" w:type="dxa"/>
            <w:tcBorders/>
            <w:shd w:fill="CCEEFF" w:val="clear"/>
            <w:vAlign w:val="center"/>
          </w:tcPr>
          <w:p>
            <w:pPr>
              <w:pStyle w:val="TableContents"/>
              <w:bidi w:val="0"/>
              <w:spacing w:before="0" w:after="283"/>
              <w:jc w:val="right"/>
              <w:rPr>
                <w:sz w:val="18"/>
              </w:rPr>
            </w:pPr>
            <w:r>
              <w:rPr>
                <w:sz w:val="18"/>
              </w:rPr>
              <w:t>(543,868,352</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18"/>
              </w:rPr>
            </w:pPr>
            <w:r>
              <w:rPr>
                <w:sz w:val="18"/>
              </w:rPr>
              <w:t>$</w:t>
            </w:r>
          </w:p>
        </w:tc>
        <w:tc>
          <w:tcPr>
            <w:tcW w:w="1100" w:type="dxa"/>
            <w:tcBorders/>
            <w:shd w:fill="CCEEFF" w:val="clear"/>
            <w:vAlign w:val="center"/>
          </w:tcPr>
          <w:p>
            <w:pPr>
              <w:pStyle w:val="TableContents"/>
              <w:bidi w:val="0"/>
              <w:spacing w:before="0" w:after="283"/>
              <w:jc w:val="right"/>
              <w:rPr>
                <w:sz w:val="18"/>
              </w:rPr>
            </w:pPr>
            <w:r>
              <w:rPr>
                <w:sz w:val="18"/>
              </w:rPr>
              <w:t>160,774,300</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3801" w:type="dxa"/>
            <w:tcBorders/>
            <w:vAlign w:val="center"/>
          </w:tcPr>
          <w:p>
            <w:pPr>
              <w:pStyle w:val="TableContents"/>
              <w:bidi w:val="0"/>
              <w:spacing w:before="0" w:after="283"/>
              <w:jc w:val="left"/>
              <w:rPr>
                <w:sz w:val="18"/>
              </w:rPr>
            </w:pPr>
            <w:r>
              <w:rPr>
                <w:sz w:val="18"/>
              </w:rPr>
              <w:t>OPERATIONS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sz w:val="18"/>
              </w:rPr>
            </w:pPr>
            <w:r>
              <w:rPr>
                <w:sz w:val="18"/>
              </w:rPr>
              <w:t>Net investment income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sz w:val="18"/>
              </w:rPr>
            </w:pPr>
            <w:r>
              <w:rPr>
                <w:sz w:val="18"/>
              </w:rPr>
              <w:t>4,949,389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18"/>
              </w:rPr>
            </w:pPr>
            <w:r>
              <w:rPr>
                <w:sz w:val="18"/>
              </w:rPr>
              <w:t>4,949,389</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3801" w:type="dxa"/>
            <w:tcBorders/>
            <w:vAlign w:val="center"/>
          </w:tcPr>
          <w:p>
            <w:pPr>
              <w:pStyle w:val="TableContents"/>
              <w:bidi w:val="0"/>
              <w:spacing w:before="0" w:after="283"/>
              <w:jc w:val="left"/>
              <w:rPr>
                <w:sz w:val="18"/>
              </w:rPr>
            </w:pPr>
            <w:r>
              <w:rPr>
                <w:sz w:val="18"/>
              </w:rPr>
              <w:t>Net realized gains (losses) on investments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sz w:val="18"/>
              </w:rPr>
            </w:pPr>
            <w:r>
              <w:rPr>
                <w:sz w:val="18"/>
              </w:rPr>
              <w:t>(14,223</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sz w:val="18"/>
              </w:rPr>
            </w:pPr>
            <w:r>
              <w:rPr>
                <w:sz w:val="18"/>
              </w:rPr>
              <w:t>(14,223</w:t>
            </w:r>
          </w:p>
        </w:tc>
        <w:tc>
          <w:tcPr>
            <w:tcW w:w="151" w:type="dxa"/>
            <w:tcBorders/>
            <w:vAlign w:val="center"/>
          </w:tcPr>
          <w:p>
            <w:pPr>
              <w:pStyle w:val="TableContents"/>
              <w:bidi w:val="0"/>
              <w:spacing w:before="0" w:after="283"/>
              <w:ind w:left="0" w:right="0" w:hanging="180"/>
              <w:jc w:val="left"/>
              <w:rPr>
                <w:sz w:val="18"/>
              </w:rPr>
            </w:pPr>
            <w:r>
              <w:rPr>
                <w:sz w:val="18"/>
              </w:rPr>
              <w:t>)</w:t>
            </w:r>
          </w:p>
        </w:tc>
      </w:tr>
      <w:tr>
        <w:trPr/>
        <w:tc>
          <w:tcPr>
            <w:tcW w:w="3801" w:type="dxa"/>
            <w:tcBorders/>
            <w:shd w:fill="CCEEFF" w:val="clear"/>
            <w:vAlign w:val="center"/>
          </w:tcPr>
          <w:p>
            <w:pPr>
              <w:pStyle w:val="TableContents"/>
              <w:bidi w:val="0"/>
              <w:spacing w:before="0" w:after="283"/>
              <w:jc w:val="left"/>
              <w:rPr>
                <w:sz w:val="18"/>
              </w:rPr>
            </w:pPr>
            <w:r>
              <w:rPr>
                <w:sz w:val="18"/>
              </w:rPr>
              <w:t>Net change in unrealized appreciation (depreciation) on investments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sz w:val="18"/>
              </w:rPr>
            </w:pPr>
            <w:r>
              <w:rPr>
                <w:sz w:val="18"/>
              </w:rPr>
              <w:t>(3,660,141</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18"/>
              </w:rPr>
            </w:pPr>
            <w:r>
              <w:rPr>
                <w:sz w:val="18"/>
              </w:rPr>
              <w:t>(3,660,141</w:t>
            </w:r>
          </w:p>
        </w:tc>
        <w:tc>
          <w:tcPr>
            <w:tcW w:w="151"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3801" w:type="dxa"/>
            <w:tcBorders/>
            <w:vAlign w:val="center"/>
          </w:tcPr>
          <w:p>
            <w:pPr>
              <w:pStyle w:val="TableContents"/>
              <w:bidi w:val="0"/>
              <w:spacing w:before="0" w:after="283"/>
              <w:jc w:val="left"/>
              <w:rPr>
                <w:sz w:val="18"/>
              </w:rPr>
            </w:pPr>
            <w:r>
              <w:rPr>
                <w:sz w:val="18"/>
              </w:rPr>
              <w:t>Deferred tax benefit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sz w:val="18"/>
              </w:rPr>
            </w:pPr>
            <w:r>
              <w:rPr>
                <w:sz w:val="18"/>
              </w:rPr>
              <w:t>(676,181</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sz w:val="18"/>
              </w:rPr>
            </w:pPr>
            <w:r>
              <w:rPr>
                <w:sz w:val="18"/>
              </w:rPr>
              <w:t>(676,181</w:t>
            </w:r>
          </w:p>
        </w:tc>
        <w:tc>
          <w:tcPr>
            <w:tcW w:w="151" w:type="dxa"/>
            <w:tcBorders/>
            <w:vAlign w:val="center"/>
          </w:tcPr>
          <w:p>
            <w:pPr>
              <w:pStyle w:val="TableContents"/>
              <w:bidi w:val="0"/>
              <w:spacing w:before="0" w:after="283"/>
              <w:ind w:left="0" w:right="0" w:hanging="180"/>
              <w:jc w:val="left"/>
              <w:rPr>
                <w:sz w:val="18"/>
              </w:rPr>
            </w:pPr>
            <w:r>
              <w:rPr>
                <w:sz w:val="18"/>
              </w:rPr>
              <w:t>)</w:t>
            </w:r>
          </w:p>
        </w:tc>
      </w:tr>
      <w:tr>
        <w:trPr/>
        <w:tc>
          <w:tcPr>
            <w:tcW w:w="3801" w:type="dxa"/>
            <w:tcBorders/>
            <w:shd w:fill="CCEEFF" w:val="clear"/>
            <w:vAlign w:val="center"/>
          </w:tcPr>
          <w:p>
            <w:pPr>
              <w:pStyle w:val="TableContents"/>
              <w:bidi w:val="0"/>
              <w:spacing w:before="0" w:after="283"/>
              <w:jc w:val="left"/>
              <w:rPr>
                <w:sz w:val="18"/>
              </w:rPr>
            </w:pPr>
            <w:r>
              <w:rPr>
                <w:sz w:val="18"/>
              </w:rPr>
              <w:t>Loss on Extinguishment of Debt (see Note 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sz w:val="18"/>
              </w:rPr>
            </w:pPr>
            <w:r>
              <w:rPr>
                <w:sz w:val="18"/>
              </w:rPr>
              <w:t>(12,314</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18"/>
              </w:rPr>
            </w:pPr>
            <w:r>
              <w:rPr>
                <w:sz w:val="18"/>
              </w:rPr>
              <w:t>(12,314</w:t>
            </w:r>
          </w:p>
        </w:tc>
        <w:tc>
          <w:tcPr>
            <w:tcW w:w="151"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3801" w:type="dxa"/>
            <w:tcBorders/>
            <w:vAlign w:val="center"/>
          </w:tcPr>
          <w:p>
            <w:pPr>
              <w:pStyle w:val="TableContents"/>
              <w:bidi w:val="0"/>
              <w:spacing w:before="0" w:after="283"/>
              <w:jc w:val="left"/>
              <w:rPr>
                <w:sz w:val="18"/>
              </w:rPr>
            </w:pPr>
            <w:r>
              <w:rPr>
                <w:sz w:val="18"/>
              </w:rPr>
              <w:t>CAPITAL SHARE TRANSACTIONS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sz w:val="18"/>
              </w:rPr>
            </w:pPr>
            <w:r>
              <w:rPr>
                <w:sz w:val="18"/>
              </w:rPr>
              <w:t>Distributions declared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sz w:val="18"/>
              </w:rPr>
            </w:pPr>
            <w:r>
              <w:rPr>
                <w:sz w:val="18"/>
              </w:rPr>
              <w:t>(141,563</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18"/>
              </w:rPr>
            </w:pPr>
            <w:r>
              <w:rPr>
                <w:sz w:val="18"/>
              </w:rPr>
              <w:t>(141,563</w:t>
            </w:r>
          </w:p>
        </w:tc>
        <w:tc>
          <w:tcPr>
            <w:tcW w:w="151"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3801" w:type="dxa"/>
            <w:tcBorders/>
            <w:vAlign w:val="center"/>
          </w:tcPr>
          <w:p>
            <w:pPr>
              <w:pStyle w:val="TableContents"/>
              <w:bidi w:val="0"/>
              <w:spacing w:before="0" w:after="283"/>
              <w:jc w:val="left"/>
              <w:rPr>
                <w:sz w:val="18"/>
              </w:rPr>
            </w:pPr>
            <w:r>
              <w:rPr>
                <w:sz w:val="18"/>
              </w:rPr>
              <w:t>Repurchase of common shares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sz w:val="18"/>
              </w:rPr>
            </w:pPr>
            <w:r>
              <w:rPr>
                <w:sz w:val="18"/>
              </w:rPr>
              <w:t>(71,296</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213" w:type="dxa"/>
            <w:tcBorders>
              <w:bottom w:val="single" w:sz="12" w:space="0" w:color="000000"/>
            </w:tcBorders>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tcMar>
              <w:bottom w:w="28" w:type="dxa"/>
            </w:tcMar>
            <w:vAlign w:val="center"/>
          </w:tcPr>
          <w:p>
            <w:pPr>
              <w:pStyle w:val="TableContents"/>
              <w:bidi w:val="0"/>
              <w:spacing w:before="0" w:after="283"/>
              <w:jc w:val="right"/>
              <w:rPr>
                <w:sz w:val="18"/>
              </w:rPr>
            </w:pPr>
            <w:r>
              <w:rPr>
                <w:sz w:val="18"/>
              </w:rPr>
              <w:t>(72</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sz w:val="18"/>
              </w:rPr>
            </w:pPr>
            <w:r>
              <w:rPr>
                <w:sz w:val="18"/>
              </w:rPr>
              <w:t>(3,356,288</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sz w:val="18"/>
              </w:rPr>
            </w:pPr>
            <w:r>
              <w:rPr>
                <w:sz w:val="18"/>
              </w:rPr>
              <w:t>(3,356,360</w:t>
            </w:r>
          </w:p>
        </w:tc>
        <w:tc>
          <w:tcPr>
            <w:tcW w:w="151" w:type="dxa"/>
            <w:tcBorders/>
            <w:vAlign w:val="center"/>
          </w:tcPr>
          <w:p>
            <w:pPr>
              <w:pStyle w:val="TableContents"/>
              <w:bidi w:val="0"/>
              <w:spacing w:before="0" w:after="283"/>
              <w:ind w:left="0" w:right="0" w:hanging="180"/>
              <w:jc w:val="left"/>
              <w:rPr>
                <w:sz w:val="18"/>
              </w:rPr>
            </w:pPr>
            <w:r>
              <w:rPr>
                <w:sz w:val="18"/>
              </w:rPr>
              <w:t>)</w:t>
            </w:r>
          </w:p>
        </w:tc>
      </w:tr>
      <w:tr>
        <w:trPr/>
        <w:tc>
          <w:tcPr>
            <w:tcW w:w="3801" w:type="dxa"/>
            <w:tcBorders/>
            <w:shd w:fill="CCEEFF" w:val="clear"/>
            <w:vAlign w:val="center"/>
          </w:tcPr>
          <w:p>
            <w:pPr>
              <w:pStyle w:val="TableContents"/>
              <w:bidi w:val="0"/>
              <w:spacing w:before="0" w:after="283"/>
              <w:jc w:val="left"/>
              <w:rPr>
                <w:b/>
                <w:sz w:val="18"/>
              </w:rPr>
            </w:pPr>
            <w:r>
              <w:rPr>
                <w:b/>
                <w:sz w:val="18"/>
              </w:rPr>
              <w:t>Total Increase (Decrease) in Net Assets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(71,296</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(72</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(3,356,288</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444,967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(2,911,393</w:t>
            </w:r>
          </w:p>
        </w:tc>
        <w:tc>
          <w:tcPr>
            <w:tcW w:w="151"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380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3801" w:type="dxa"/>
            <w:tcBorders/>
            <w:shd w:fill="CCEEFF" w:val="clear"/>
            <w:vAlign w:val="center"/>
          </w:tcPr>
          <w:p>
            <w:pPr>
              <w:pStyle w:val="TableContents"/>
              <w:bidi w:val="0"/>
              <w:spacing w:before="0" w:after="283"/>
              <w:jc w:val="left"/>
              <w:rPr>
                <w:b/>
                <w:sz w:val="18"/>
              </w:rPr>
            </w:pPr>
            <w:r>
              <w:rPr>
                <w:b/>
                <w:sz w:val="18"/>
              </w:rPr>
              <w:t>Balance at June 30, 2026</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1,932,473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bottom w:val="double" w:sz="10"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699"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1,932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701,284,360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1089"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(543,423,385</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157,862,907</w:t>
            </w:r>
          </w:p>
        </w:tc>
        <w:tc>
          <w:tcPr>
            <w:tcW w:w="151"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bookmarkStart w:id="5" w:name="aa_004"/>
      <w:bookmarkEnd w:id="5"/>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79"/>
        <w:gridCol w:w="90"/>
        <w:gridCol w:w="170"/>
        <w:gridCol w:w="1205"/>
        <w:gridCol w:w="125"/>
        <w:gridCol w:w="90"/>
        <w:gridCol w:w="170"/>
        <w:gridCol w:w="1325"/>
        <w:gridCol w:w="151"/>
      </w:tblGrid>
      <w:tr>
        <w:trPr/>
        <w:tc>
          <w:tcPr>
            <w:tcW w:w="6879"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0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Nine Months Ended </w:t>
              <w:br/>
              <w:t>June 30,</w:t>
            </w:r>
          </w:p>
        </w:tc>
        <w:tc>
          <w:tcPr>
            <w:tcW w:w="151" w:type="dxa"/>
            <w:tcBorders/>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51" w:type="dxa"/>
            <w:tcBorders/>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6879" w:type="dxa"/>
            <w:tcBorders/>
            <w:shd w:fill="CCEEFF" w:val="clear"/>
            <w:vAlign w:val="center"/>
          </w:tcPr>
          <w:p>
            <w:pPr>
              <w:pStyle w:val="TableContents"/>
              <w:bidi w:val="0"/>
              <w:spacing w:before="0" w:after="283"/>
              <w:jc w:val="left"/>
              <w:rPr/>
            </w:pPr>
            <w:r>
              <w:rPr/>
              <w:t>Net increase (decrease) in net assets resulting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586,530</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70,561</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pPr>
            <w:r>
              <w:rPr/>
              <w:t>Adjustments to reconcile net increase (decrease) in net assets resulting from operations to net cash provided by (used in)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6879" w:type="dxa"/>
            <w:tcBorders/>
            <w:shd w:fill="CCEEFF" w:val="clear"/>
            <w:vAlign w:val="center"/>
          </w:tcPr>
          <w:p>
            <w:pPr>
              <w:pStyle w:val="TableContents"/>
              <w:bidi w:val="0"/>
              <w:spacing w:before="0" w:after="283"/>
              <w:jc w:val="left"/>
              <w:rPr/>
            </w:pPr>
            <w:r>
              <w:rPr/>
              <w:t>Proceeds from sale and settlements of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47,888,979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90,769,387</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pPr>
            <w:r>
              <w:rPr/>
              <w:t>Purchases, originations and participations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(48,665,051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(159,511,135</w:t>
            </w:r>
          </w:p>
        </w:tc>
        <w:tc>
          <w:tcPr>
            <w:tcW w:w="151" w:type="dxa"/>
            <w:tcBorders/>
            <w:vAlign w:val="center"/>
          </w:tcPr>
          <w:p>
            <w:pPr>
              <w:pStyle w:val="TableContents"/>
              <w:bidi w:val="0"/>
              <w:spacing w:before="0" w:after="283"/>
              <w:ind w:left="0" w:right="0" w:hanging="180"/>
              <w:jc w:val="left"/>
              <w:rPr/>
            </w:pPr>
            <w:r>
              <w:rPr/>
              <w:t>)</w:t>
            </w:r>
          </w:p>
        </w:tc>
      </w:tr>
      <w:tr>
        <w:trPr/>
        <w:tc>
          <w:tcPr>
            <w:tcW w:w="6879" w:type="dxa"/>
            <w:tcBorders/>
            <w:shd w:fill="CCEEFF" w:val="clear"/>
            <w:vAlign w:val="center"/>
          </w:tcPr>
          <w:p>
            <w:pPr>
              <w:pStyle w:val="TableContents"/>
              <w:bidi w:val="0"/>
              <w:spacing w:before="0" w:after="283"/>
              <w:jc w:val="left"/>
              <w:rPr/>
            </w:pPr>
            <w:r>
              <w:rPr/>
              <w:t>Investment increases due to payment-in-kind interest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(1,391,795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(832,055</w:t>
            </w:r>
          </w:p>
        </w:tc>
        <w:tc>
          <w:tcPr>
            <w:tcW w:w="151" w:type="dxa"/>
            <w:tcBorders/>
            <w:shd w:fill="CCEEFF" w:val="clear"/>
            <w:vAlign w:val="center"/>
          </w:tcPr>
          <w:p>
            <w:pPr>
              <w:pStyle w:val="TableContents"/>
              <w:bidi w:val="0"/>
              <w:spacing w:before="0" w:after="283"/>
              <w:ind w:left="0" w:right="0" w:hanging="180"/>
              <w:jc w:val="left"/>
              <w:rPr/>
            </w:pPr>
            <w:r>
              <w:rPr/>
              <w:t>)</w:t>
            </w:r>
          </w:p>
        </w:tc>
      </w:tr>
      <w:tr>
        <w:trPr/>
        <w:tc>
          <w:tcPr>
            <w:tcW w:w="6879" w:type="dxa"/>
            <w:tcBorders/>
            <w:vAlign w:val="center"/>
          </w:tcPr>
          <w:p>
            <w:pPr>
              <w:pStyle w:val="TableContents"/>
              <w:bidi w:val="0"/>
              <w:spacing w:before="0" w:after="283"/>
              <w:jc w:val="left"/>
              <w:rPr/>
            </w:pPr>
            <w:r>
              <w:rPr/>
              <w:t>Net amortization of premium (discount) on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(871,319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(353,418</w:t>
            </w:r>
          </w:p>
        </w:tc>
        <w:tc>
          <w:tcPr>
            <w:tcW w:w="151" w:type="dxa"/>
            <w:tcBorders/>
            <w:vAlign w:val="center"/>
          </w:tcPr>
          <w:p>
            <w:pPr>
              <w:pStyle w:val="TableContents"/>
              <w:bidi w:val="0"/>
              <w:spacing w:before="0" w:after="283"/>
              <w:ind w:left="0" w:right="0" w:hanging="180"/>
              <w:jc w:val="left"/>
              <w:rPr/>
            </w:pPr>
            <w:r>
              <w:rPr/>
              <w:t>)</w:t>
            </w:r>
          </w:p>
        </w:tc>
      </w:tr>
      <w:tr>
        <w:trPr/>
        <w:tc>
          <w:tcPr>
            <w:tcW w:w="6879" w:type="dxa"/>
            <w:tcBorders/>
            <w:shd w:fill="CCEEFF" w:val="clear"/>
            <w:vAlign w:val="center"/>
          </w:tcPr>
          <w:p>
            <w:pPr>
              <w:pStyle w:val="TableContents"/>
              <w:bidi w:val="0"/>
              <w:spacing w:before="0" w:after="283"/>
              <w:jc w:val="left"/>
              <w:rPr/>
            </w:pPr>
            <w:r>
              <w:rPr/>
              <w:t>Amortization of debt issuance cost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249,455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276,330</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pPr>
            <w:r>
              <w:rPr/>
              <w:t>Amortization of deferred financing cost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229,583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482,673</w:t>
            </w:r>
          </w:p>
        </w:tc>
        <w:tc>
          <w:tcPr>
            <w:tcW w:w="151" w:type="dxa"/>
            <w:tcBorders/>
            <w:vAlign w:val="center"/>
          </w:tcPr>
          <w:p>
            <w:pPr>
              <w:pStyle w:val="TableContents"/>
              <w:bidi w:val="0"/>
              <w:spacing w:before="0" w:after="283"/>
              <w:ind w:left="0" w:right="0" w:hanging="180"/>
              <w:jc w:val="left"/>
              <w:rPr/>
            </w:pPr>
            <w:r>
              <w:rPr/>
              <w:t> </w:t>
            </w:r>
          </w:p>
        </w:tc>
      </w:tr>
      <w:tr>
        <w:trPr/>
        <w:tc>
          <w:tcPr>
            <w:tcW w:w="6879" w:type="dxa"/>
            <w:tcBorders/>
            <w:shd w:fill="CCEEFF" w:val="clear"/>
            <w:vAlign w:val="center"/>
          </w:tcPr>
          <w:p>
            <w:pPr>
              <w:pStyle w:val="TableContents"/>
              <w:bidi w:val="0"/>
              <w:spacing w:before="0" w:after="283"/>
              <w:jc w:val="left"/>
              <w:rPr/>
            </w:pPr>
            <w:r>
              <w:rPr/>
              <w:t>Net realized (gains) losses from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14,223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11,882,154</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pPr>
            <w:r>
              <w:rPr/>
              <w:t>Net unrealized (gains) losses on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3,660,141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(8,477,906</w:t>
            </w:r>
          </w:p>
        </w:tc>
        <w:tc>
          <w:tcPr>
            <w:tcW w:w="151" w:type="dxa"/>
            <w:tcBorders/>
            <w:vAlign w:val="center"/>
          </w:tcPr>
          <w:p>
            <w:pPr>
              <w:pStyle w:val="TableContents"/>
              <w:bidi w:val="0"/>
              <w:spacing w:before="0" w:after="283"/>
              <w:ind w:left="0" w:right="0" w:hanging="180"/>
              <w:jc w:val="left"/>
              <w:rPr/>
            </w:pPr>
            <w:r>
              <w:rPr/>
              <w:t>)</w:t>
            </w:r>
          </w:p>
        </w:tc>
      </w:tr>
      <w:tr>
        <w:trPr/>
        <w:tc>
          <w:tcPr>
            <w:tcW w:w="6879" w:type="dxa"/>
            <w:tcBorders/>
            <w:shd w:fill="CCEEFF" w:val="clear"/>
            <w:vAlign w:val="center"/>
          </w:tcPr>
          <w:p>
            <w:pPr>
              <w:pStyle w:val="TableContents"/>
              <w:bidi w:val="0"/>
              <w:spacing w:before="0" w:after="283"/>
              <w:jc w:val="left"/>
              <w:rPr/>
            </w:pPr>
            <w:r>
              <w:rPr/>
              <w:t>Loss on extinguishment of debt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12,314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pPr>
            <w:r>
              <w:rPr/>
              <w:t>(Increase) decrease in operating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6879" w:type="dxa"/>
            <w:tcBorders/>
            <w:shd w:fill="CCEEFF" w:val="clear"/>
            <w:vAlign w:val="center"/>
          </w:tcPr>
          <w:p>
            <w:pPr>
              <w:pStyle w:val="TableContents"/>
              <w:bidi w:val="0"/>
              <w:spacing w:before="0" w:after="283"/>
              <w:jc w:val="left"/>
              <w:rPr/>
            </w:pPr>
            <w:r>
              <w:rPr/>
              <w:t>Interest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(218,111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177,952</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pPr>
            <w:r>
              <w:rPr/>
              <w:t>Other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44,971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49,198</w:t>
            </w:r>
          </w:p>
        </w:tc>
        <w:tc>
          <w:tcPr>
            <w:tcW w:w="151" w:type="dxa"/>
            <w:tcBorders/>
            <w:vAlign w:val="center"/>
          </w:tcPr>
          <w:p>
            <w:pPr>
              <w:pStyle w:val="TableContents"/>
              <w:bidi w:val="0"/>
              <w:spacing w:before="0" w:after="283"/>
              <w:ind w:left="0" w:right="0" w:hanging="180"/>
              <w:jc w:val="left"/>
              <w:rPr/>
            </w:pPr>
            <w:r>
              <w:rPr/>
              <w:t> </w:t>
            </w:r>
          </w:p>
        </w:tc>
      </w:tr>
      <w:tr>
        <w:trPr/>
        <w:tc>
          <w:tcPr>
            <w:tcW w:w="6879" w:type="dxa"/>
            <w:tcBorders/>
            <w:shd w:fill="CCEEFF" w:val="clear"/>
            <w:vAlign w:val="center"/>
          </w:tcPr>
          <w:p>
            <w:pPr>
              <w:pStyle w:val="TableContents"/>
              <w:bidi w:val="0"/>
              <w:spacing w:before="0" w:after="283"/>
              <w:jc w:val="left"/>
              <w:rPr/>
            </w:pPr>
            <w:r>
              <w:rPr/>
              <w:t>Dividends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(18,250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23,468</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pPr>
            <w:r>
              <w:rPr/>
              <w:t>Due from affiliate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314,021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(1,011,099</w:t>
            </w:r>
          </w:p>
        </w:tc>
        <w:tc>
          <w:tcPr>
            <w:tcW w:w="151" w:type="dxa"/>
            <w:tcBorders/>
            <w:vAlign w:val="center"/>
          </w:tcPr>
          <w:p>
            <w:pPr>
              <w:pStyle w:val="TableContents"/>
              <w:bidi w:val="0"/>
              <w:spacing w:before="0" w:after="283"/>
              <w:ind w:left="0" w:right="0" w:hanging="180"/>
              <w:jc w:val="left"/>
              <w:rPr/>
            </w:pPr>
            <w:r>
              <w:rPr/>
              <w:t>)</w:t>
            </w:r>
          </w:p>
        </w:tc>
      </w:tr>
      <w:tr>
        <w:trPr/>
        <w:tc>
          <w:tcPr>
            <w:tcW w:w="6879" w:type="dxa"/>
            <w:tcBorders/>
            <w:shd w:fill="CCEEFF" w:val="clear"/>
            <w:vAlign w:val="center"/>
          </w:tcPr>
          <w:p>
            <w:pPr>
              <w:pStyle w:val="TableContents"/>
              <w:bidi w:val="0"/>
              <w:spacing w:before="0" w:after="283"/>
              <w:jc w:val="left"/>
              <w:rPr/>
            </w:pPr>
            <w:r>
              <w:rPr/>
              <w:t>Other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356,781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768,168</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pPr>
            <w:r>
              <w:rPr/>
              <w:t>Prepaid share repurchase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11,545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51" w:type="dxa"/>
            <w:tcBorders/>
            <w:vAlign w:val="center"/>
          </w:tcPr>
          <w:p>
            <w:pPr>
              <w:pStyle w:val="TableContents"/>
              <w:bidi w:val="0"/>
              <w:spacing w:before="0" w:after="283"/>
              <w:ind w:left="0" w:right="0" w:hanging="180"/>
              <w:jc w:val="left"/>
              <w:rPr/>
            </w:pPr>
            <w:r>
              <w:rPr/>
              <w:t> </w:t>
            </w:r>
          </w:p>
        </w:tc>
      </w:tr>
      <w:tr>
        <w:trPr/>
        <w:tc>
          <w:tcPr>
            <w:tcW w:w="6879" w:type="dxa"/>
            <w:tcBorders/>
            <w:shd w:fill="CCEEFF" w:val="clear"/>
            <w:vAlign w:val="center"/>
          </w:tcPr>
          <w:p>
            <w:pPr>
              <w:pStyle w:val="TableContents"/>
              <w:bidi w:val="0"/>
              <w:spacing w:before="0" w:after="283"/>
              <w:jc w:val="left"/>
              <w:rPr/>
            </w:pPr>
            <w:r>
              <w:rPr/>
              <w:t>Receivable for investments sold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21,549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2,920,330</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pPr>
            <w:r>
              <w:rPr/>
              <w:t>Provision for deferred taxes on unrealized appreciation/(depreciation) on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564,287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274,125</w:t>
            </w:r>
          </w:p>
        </w:tc>
        <w:tc>
          <w:tcPr>
            <w:tcW w:w="151" w:type="dxa"/>
            <w:tcBorders/>
            <w:vAlign w:val="center"/>
          </w:tcPr>
          <w:p>
            <w:pPr>
              <w:pStyle w:val="TableContents"/>
              <w:bidi w:val="0"/>
              <w:spacing w:before="0" w:after="283"/>
              <w:ind w:left="0" w:right="0" w:hanging="180"/>
              <w:jc w:val="left"/>
              <w:rPr/>
            </w:pPr>
            <w:r>
              <w:rPr/>
              <w:t> </w:t>
            </w:r>
          </w:p>
        </w:tc>
      </w:tr>
      <w:tr>
        <w:trPr/>
        <w:tc>
          <w:tcPr>
            <w:tcW w:w="6879" w:type="dxa"/>
            <w:tcBorders/>
            <w:shd w:fill="CCEEFF" w:val="clear"/>
            <w:vAlign w:val="center"/>
          </w:tcPr>
          <w:p>
            <w:pPr>
              <w:pStyle w:val="TableContents"/>
              <w:bidi w:val="0"/>
              <w:spacing w:before="0" w:after="283"/>
              <w:jc w:val="left"/>
              <w:rPr/>
            </w:pPr>
            <w:r>
              <w:rPr/>
              <w:t>Increase (decrease) in operating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pPr>
            <w:r>
              <w:rPr/>
              <w:t>Accounts payable and accrued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(2,799,457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(2,269,332</w:t>
            </w:r>
          </w:p>
        </w:tc>
        <w:tc>
          <w:tcPr>
            <w:tcW w:w="151" w:type="dxa"/>
            <w:tcBorders/>
            <w:vAlign w:val="center"/>
          </w:tcPr>
          <w:p>
            <w:pPr>
              <w:pStyle w:val="TableContents"/>
              <w:bidi w:val="0"/>
              <w:spacing w:before="0" w:after="283"/>
              <w:ind w:left="0" w:right="0" w:hanging="180"/>
              <w:jc w:val="left"/>
              <w:rPr/>
            </w:pPr>
            <w:r>
              <w:rPr/>
              <w:t>)</w:t>
            </w:r>
          </w:p>
        </w:tc>
      </w:tr>
      <w:tr>
        <w:trPr/>
        <w:tc>
          <w:tcPr>
            <w:tcW w:w="6879" w:type="dxa"/>
            <w:tcBorders/>
            <w:shd w:fill="CCEEFF" w:val="clear"/>
            <w:vAlign w:val="center"/>
          </w:tcPr>
          <w:p>
            <w:pPr>
              <w:pStyle w:val="TableContents"/>
              <w:bidi w:val="0"/>
              <w:spacing w:before="0" w:after="283"/>
              <w:jc w:val="left"/>
              <w:rPr/>
            </w:pPr>
            <w:r>
              <w:rPr/>
              <w:t>Interest and fees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(66,186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444,981</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pPr>
            <w:r>
              <w:rPr/>
              <w:t>Other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23,634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(103,320</w:t>
            </w:r>
          </w:p>
        </w:tc>
        <w:tc>
          <w:tcPr>
            <w:tcW w:w="151" w:type="dxa"/>
            <w:tcBorders/>
            <w:vAlign w:val="center"/>
          </w:tcPr>
          <w:p>
            <w:pPr>
              <w:pStyle w:val="TableContents"/>
              <w:bidi w:val="0"/>
              <w:spacing w:before="0" w:after="283"/>
              <w:ind w:left="0" w:right="0" w:hanging="180"/>
              <w:jc w:val="left"/>
              <w:rPr/>
            </w:pPr>
            <w:r>
              <w:rPr/>
              <w:t>)</w:t>
            </w:r>
          </w:p>
        </w:tc>
      </w:tr>
      <w:tr>
        <w:trPr/>
        <w:tc>
          <w:tcPr>
            <w:tcW w:w="6879" w:type="dxa"/>
            <w:tcBorders/>
            <w:shd w:fill="CCEEFF" w:val="clear"/>
            <w:vAlign w:val="center"/>
          </w:tcPr>
          <w:p>
            <w:pPr>
              <w:pStyle w:val="TableContents"/>
              <w:bidi w:val="0"/>
              <w:spacing w:before="0" w:after="283"/>
              <w:jc w:val="left"/>
              <w:rPr/>
            </w:pPr>
            <w:r>
              <w:rPr/>
              <w:t>Due to Affiliate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(5,429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64,217</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pPr>
            <w:r>
              <w:rPr/>
              <w:t>Taxes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(60,029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51" w:type="dxa"/>
            <w:tcBorders/>
            <w:vAlign w:val="center"/>
          </w:tcPr>
          <w:p>
            <w:pPr>
              <w:pStyle w:val="TableContents"/>
              <w:bidi w:val="0"/>
              <w:spacing w:before="0" w:after="283"/>
              <w:ind w:left="0" w:right="0" w:hanging="180"/>
              <w:jc w:val="left"/>
              <w:rPr/>
            </w:pPr>
            <w:r>
              <w:rPr/>
              <w:t> </w:t>
            </w:r>
          </w:p>
        </w:tc>
      </w:tr>
      <w:tr>
        <w:trPr/>
        <w:tc>
          <w:tcPr>
            <w:tcW w:w="6879" w:type="dxa"/>
            <w:tcBorders/>
            <w:shd w:fill="CCEEFF" w:val="clear"/>
            <w:vAlign w:val="center"/>
          </w:tcPr>
          <w:p>
            <w:pPr>
              <w:pStyle w:val="TableContents"/>
              <w:bidi w:val="0"/>
              <w:spacing w:before="0" w:after="283"/>
              <w:jc w:val="left"/>
              <w:rPr/>
            </w:pPr>
            <w:r>
              <w:rPr/>
              <w:t>Administrator expenses payable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97,386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b/>
              </w:rPr>
            </w:pPr>
            <w:r>
              <w:rPr>
                <w:b/>
              </w:rPr>
              <w:t>Net cash provided by (used in)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(20,228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(64,354,721</w:t>
            </w:r>
          </w:p>
        </w:tc>
        <w:tc>
          <w:tcPr>
            <w:tcW w:w="151" w:type="dxa"/>
            <w:tcBorders/>
            <w:vAlign w:val="center"/>
          </w:tcPr>
          <w:p>
            <w:pPr>
              <w:pStyle w:val="TableContents"/>
              <w:bidi w:val="0"/>
              <w:spacing w:before="0" w:after="283"/>
              <w:ind w:left="0" w:right="0" w:hanging="180"/>
              <w:jc w:val="left"/>
              <w:rPr/>
            </w:pPr>
            <w:r>
              <w:rPr/>
              <w:t>)</w:t>
            </w:r>
          </w:p>
        </w:tc>
      </w:tr>
      <w:tr>
        <w:trPr/>
        <w:tc>
          <w:tcPr>
            <w:tcW w:w="6879" w:type="dxa"/>
            <w:tcBorders/>
            <w:shd w:fill="CCEEFF" w:val="clear"/>
            <w:vAlign w:val="center"/>
          </w:tcPr>
          <w:p>
            <w:pPr>
              <w:pStyle w:val="TableContents"/>
              <w:bidi w:val="0"/>
              <w:spacing w:before="0" w:after="283"/>
              <w:jc w:val="left"/>
              <w:rPr/>
            </w:pPr>
            <w:r>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pPr>
            <w:r>
              <w:rPr/>
              <w:t>Debt issuance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36,918,666</w:t>
            </w:r>
          </w:p>
        </w:tc>
        <w:tc>
          <w:tcPr>
            <w:tcW w:w="151" w:type="dxa"/>
            <w:tcBorders/>
            <w:vAlign w:val="center"/>
          </w:tcPr>
          <w:p>
            <w:pPr>
              <w:pStyle w:val="TableContents"/>
              <w:bidi w:val="0"/>
              <w:spacing w:before="0" w:after="283"/>
              <w:ind w:left="0" w:right="0" w:hanging="180"/>
              <w:jc w:val="left"/>
              <w:rPr/>
            </w:pPr>
            <w:r>
              <w:rPr/>
              <w:t> </w:t>
            </w:r>
          </w:p>
        </w:tc>
      </w:tr>
      <w:tr>
        <w:trPr/>
        <w:tc>
          <w:tcPr>
            <w:tcW w:w="6879" w:type="dxa"/>
            <w:tcBorders/>
            <w:shd w:fill="CCEEFF" w:val="clear"/>
            <w:vAlign w:val="center"/>
          </w:tcPr>
          <w:p>
            <w:pPr>
              <w:pStyle w:val="TableContents"/>
              <w:bidi w:val="0"/>
              <w:spacing w:before="0" w:after="283"/>
              <w:jc w:val="left"/>
              <w:rPr/>
            </w:pPr>
            <w:r>
              <w:rPr/>
              <w:t>Paydowns on debt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(1,563,137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(28,000,000</w:t>
            </w:r>
          </w:p>
        </w:tc>
        <w:tc>
          <w:tcPr>
            <w:tcW w:w="151" w:type="dxa"/>
            <w:tcBorders/>
            <w:shd w:fill="CCEEFF" w:val="clear"/>
            <w:vAlign w:val="center"/>
          </w:tcPr>
          <w:p>
            <w:pPr>
              <w:pStyle w:val="TableContents"/>
              <w:bidi w:val="0"/>
              <w:spacing w:before="0" w:after="283"/>
              <w:ind w:left="0" w:right="0" w:hanging="180"/>
              <w:jc w:val="left"/>
              <w:rPr/>
            </w:pPr>
            <w:r>
              <w:rPr/>
              <w:t>)</w:t>
            </w:r>
          </w:p>
        </w:tc>
      </w:tr>
      <w:tr>
        <w:trPr/>
        <w:tc>
          <w:tcPr>
            <w:tcW w:w="6879" w:type="dxa"/>
            <w:tcBorders/>
            <w:vAlign w:val="center"/>
          </w:tcPr>
          <w:p>
            <w:pPr>
              <w:pStyle w:val="TableContents"/>
              <w:bidi w:val="0"/>
              <w:spacing w:before="0" w:after="283"/>
              <w:jc w:val="left"/>
              <w:rPr/>
            </w:pPr>
            <w:r>
              <w:rPr/>
              <w:t>Deferred financing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(1,180,770</w:t>
            </w:r>
          </w:p>
        </w:tc>
        <w:tc>
          <w:tcPr>
            <w:tcW w:w="151" w:type="dxa"/>
            <w:tcBorders/>
            <w:vAlign w:val="center"/>
          </w:tcPr>
          <w:p>
            <w:pPr>
              <w:pStyle w:val="TableContents"/>
              <w:bidi w:val="0"/>
              <w:spacing w:before="0" w:after="283"/>
              <w:ind w:left="0" w:right="0" w:hanging="180"/>
              <w:jc w:val="left"/>
              <w:rPr/>
            </w:pPr>
            <w:r>
              <w:rPr/>
              <w:t>)</w:t>
            </w:r>
          </w:p>
        </w:tc>
      </w:tr>
      <w:tr>
        <w:trPr/>
        <w:tc>
          <w:tcPr>
            <w:tcW w:w="6879" w:type="dxa"/>
            <w:tcBorders/>
            <w:shd w:fill="CCEEFF" w:val="clear"/>
            <w:vAlign w:val="center"/>
          </w:tcPr>
          <w:p>
            <w:pPr>
              <w:pStyle w:val="TableContents"/>
              <w:bidi w:val="0"/>
              <w:spacing w:before="0" w:after="283"/>
              <w:jc w:val="left"/>
              <w:rPr/>
            </w:pPr>
            <w:r>
              <w:rPr/>
              <w:t>Distributions paid to shareholders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(141,563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(2,888,283</w:t>
            </w:r>
          </w:p>
        </w:tc>
        <w:tc>
          <w:tcPr>
            <w:tcW w:w="151" w:type="dxa"/>
            <w:tcBorders/>
            <w:shd w:fill="CCEEFF" w:val="clear"/>
            <w:vAlign w:val="center"/>
          </w:tcPr>
          <w:p>
            <w:pPr>
              <w:pStyle w:val="TableContents"/>
              <w:bidi w:val="0"/>
              <w:spacing w:before="0" w:after="283"/>
              <w:ind w:left="0" w:right="0" w:hanging="180"/>
              <w:jc w:val="left"/>
              <w:rPr/>
            </w:pPr>
            <w:r>
              <w:rPr/>
              <w:t>)</w:t>
            </w:r>
          </w:p>
        </w:tc>
      </w:tr>
      <w:tr>
        <w:trPr/>
        <w:tc>
          <w:tcPr>
            <w:tcW w:w="6879" w:type="dxa"/>
            <w:tcBorders/>
            <w:vAlign w:val="center"/>
          </w:tcPr>
          <w:p>
            <w:pPr>
              <w:pStyle w:val="TableContents"/>
              <w:bidi w:val="0"/>
              <w:spacing w:before="0" w:after="283"/>
              <w:jc w:val="left"/>
              <w:rPr/>
            </w:pPr>
            <w:r>
              <w:rPr/>
              <w:t>Repurchase of common shares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(3,356,360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(795,932</w:t>
            </w:r>
          </w:p>
        </w:tc>
        <w:tc>
          <w:tcPr>
            <w:tcW w:w="151" w:type="dxa"/>
            <w:tcBorders/>
            <w:vAlign w:val="center"/>
          </w:tcPr>
          <w:p>
            <w:pPr>
              <w:pStyle w:val="TableContents"/>
              <w:bidi w:val="0"/>
              <w:spacing w:before="0" w:after="283"/>
              <w:ind w:left="0" w:right="0" w:hanging="180"/>
              <w:jc w:val="left"/>
              <w:rPr/>
            </w:pPr>
            <w:r>
              <w:rPr/>
              <w:t>)</w:t>
            </w:r>
          </w:p>
        </w:tc>
      </w:tr>
      <w:tr>
        <w:trPr/>
        <w:tc>
          <w:tcPr>
            <w:tcW w:w="6879" w:type="dxa"/>
            <w:tcBorders/>
            <w:shd w:fill="CCEEFF" w:val="clear"/>
            <w:vAlign w:val="center"/>
          </w:tcPr>
          <w:p>
            <w:pPr>
              <w:pStyle w:val="TableContents"/>
              <w:bidi w:val="0"/>
              <w:spacing w:before="0" w:after="283"/>
              <w:jc w:val="left"/>
              <w:rPr/>
            </w:pPr>
            <w:r>
              <w:rPr/>
              <w:t>Net cash provided by (used in)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(5,091,060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4,053,681</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b/>
              </w:rPr>
            </w:pPr>
            <w:r>
              <w:rPr>
                <w:b/>
              </w:rPr>
              <w:t>Net increase (decrease) in cash and cash equivalents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(5,111,288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(60,301,040</w:t>
            </w:r>
          </w:p>
        </w:tc>
        <w:tc>
          <w:tcPr>
            <w:tcW w:w="151" w:type="dxa"/>
            <w:tcBorders/>
            <w:vAlign w:val="center"/>
          </w:tcPr>
          <w:p>
            <w:pPr>
              <w:pStyle w:val="TableContents"/>
              <w:bidi w:val="0"/>
              <w:spacing w:before="0" w:after="283"/>
              <w:ind w:left="0" w:right="0" w:hanging="180"/>
              <w:jc w:val="left"/>
              <w:rPr/>
            </w:pPr>
            <w:r>
              <w:rPr/>
              <w:t>)</w:t>
            </w:r>
          </w:p>
        </w:tc>
      </w:tr>
      <w:tr>
        <w:trPr/>
        <w:tc>
          <w:tcPr>
            <w:tcW w:w="6879" w:type="dxa"/>
            <w:tcBorders/>
            <w:shd w:fill="CCEEFF" w:val="clear"/>
            <w:vAlign w:val="center"/>
          </w:tcPr>
          <w:p>
            <w:pPr>
              <w:pStyle w:val="TableContents"/>
              <w:bidi w:val="0"/>
              <w:spacing w:before="0" w:after="283"/>
              <w:jc w:val="left"/>
              <w:rPr/>
            </w:pPr>
            <w:r>
              <w:rPr/>
              <w:t>Cash and cash equivalents, beginning of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7,289,371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67,571,559</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pPr>
            <w:r>
              <w:rPr/>
              <w:t>Cash and cash equivalents, end of period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2,178,083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tcMar>
              <w:bottom w:w="28" w:type="dxa"/>
            </w:tcMar>
            <w:vAlign w:val="center"/>
          </w:tcPr>
          <w:p>
            <w:pPr>
              <w:pStyle w:val="TableContents"/>
              <w:bidi w:val="0"/>
              <w:spacing w:before="0" w:after="283"/>
              <w:jc w:val="right"/>
              <w:rPr/>
            </w:pPr>
            <w:r>
              <w:rPr/>
              <w:t>7,270,519</w:t>
            </w:r>
          </w:p>
        </w:tc>
        <w:tc>
          <w:tcPr>
            <w:tcW w:w="151" w:type="dxa"/>
            <w:tcBorders/>
            <w:vAlign w:val="center"/>
          </w:tcPr>
          <w:p>
            <w:pPr>
              <w:pStyle w:val="TableContents"/>
              <w:bidi w:val="0"/>
              <w:spacing w:before="0" w:after="283"/>
              <w:ind w:left="0" w:right="0" w:hanging="180"/>
              <w:jc w:val="left"/>
              <w:rPr/>
            </w:pPr>
            <w:r>
              <w:rPr/>
              <w:t> </w:t>
            </w:r>
          </w:p>
        </w:tc>
      </w:tr>
      <w:tr>
        <w:trPr/>
        <w:tc>
          <w:tcPr>
            <w:tcW w:w="687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b/>
              </w:rPr>
            </w:pPr>
            <w:r>
              <w:rPr>
                <w:b/>
              </w:rPr>
              <w:t>Supplemental information: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6879" w:type="dxa"/>
            <w:tcBorders/>
            <w:shd w:fill="CCEEFF" w:val="clear"/>
            <w:vAlign w:val="center"/>
          </w:tcPr>
          <w:p>
            <w:pPr>
              <w:pStyle w:val="TableContents"/>
              <w:bidi w:val="0"/>
              <w:spacing w:before="0" w:after="283"/>
              <w:jc w:val="left"/>
              <w:rPr/>
            </w:pPr>
            <w:r>
              <w:rPr/>
              <w:t>Interest paid during the period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6,628,749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6,418,876</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879" w:type="dxa"/>
            <w:tcBorders/>
            <w:vAlign w:val="center"/>
          </w:tcPr>
          <w:p>
            <w:pPr>
              <w:pStyle w:val="TableContents"/>
              <w:bidi w:val="0"/>
              <w:spacing w:before="0" w:after="283"/>
              <w:jc w:val="left"/>
              <w:rPr/>
            </w:pPr>
            <w:r>
              <w:rPr/>
              <w:t>Non-cash purchase of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right"/>
              <w:rPr/>
            </w:pPr>
            <w:r>
              <w:rPr/>
              <w:t>12,665,596</w:t>
            </w:r>
          </w:p>
        </w:tc>
        <w:tc>
          <w:tcPr>
            <w:tcW w:w="151" w:type="dxa"/>
            <w:tcBorders/>
            <w:vAlign w:val="center"/>
          </w:tcPr>
          <w:p>
            <w:pPr>
              <w:pStyle w:val="TableContents"/>
              <w:bidi w:val="0"/>
              <w:spacing w:before="0" w:after="283"/>
              <w:ind w:left="0" w:right="0" w:hanging="180"/>
              <w:jc w:val="left"/>
              <w:rPr/>
            </w:pPr>
            <w:r>
              <w:rPr/>
              <w:t> </w:t>
            </w:r>
          </w:p>
        </w:tc>
      </w:tr>
      <w:tr>
        <w:trPr/>
        <w:tc>
          <w:tcPr>
            <w:tcW w:w="6879" w:type="dxa"/>
            <w:tcBorders/>
            <w:shd w:fill="CCEEFF" w:val="clear"/>
            <w:vAlign w:val="center"/>
          </w:tcPr>
          <w:p>
            <w:pPr>
              <w:pStyle w:val="TableContents"/>
              <w:bidi w:val="0"/>
              <w:spacing w:before="0" w:after="283"/>
              <w:jc w:val="left"/>
              <w:rPr/>
            </w:pPr>
            <w:r>
              <w:rPr/>
              <w:t>Non-cash sale of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12,665,596</w:t>
            </w:r>
          </w:p>
        </w:tc>
        <w:tc>
          <w:tcPr>
            <w:tcW w:w="151"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bookmarkStart w:id="6" w:name="aa_005"/>
      <w:bookmarkEnd w:id="6"/>
      <w:r>
        <w:rPr>
          <w:rFonts w:ascii="Times New Roman;Times;Serif" w:hAnsi="Times New Roman;Times;Serif"/>
          <w:b/>
          <w:i w:val="false"/>
          <w:caps w:val="false"/>
          <w:smallCaps w:val="false"/>
          <w:sz w:val="20"/>
        </w:rPr>
        <w:t>Consolidated Schedule of Investments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63"/>
        <w:gridCol w:w="90"/>
        <w:gridCol w:w="1133"/>
        <w:gridCol w:w="90"/>
        <w:gridCol w:w="1739"/>
        <w:gridCol w:w="90"/>
        <w:gridCol w:w="758"/>
        <w:gridCol w:w="90"/>
        <w:gridCol w:w="90"/>
        <w:gridCol w:w="93"/>
        <w:gridCol w:w="895"/>
        <w:gridCol w:w="90"/>
        <w:gridCol w:w="90"/>
        <w:gridCol w:w="140"/>
        <w:gridCol w:w="860"/>
        <w:gridCol w:w="90"/>
        <w:gridCol w:w="90"/>
        <w:gridCol w:w="140"/>
        <w:gridCol w:w="860"/>
        <w:gridCol w:w="90"/>
        <w:gridCol w:w="90"/>
        <w:gridCol w:w="137"/>
        <w:gridCol w:w="648"/>
        <w:gridCol w:w="249"/>
      </w:tblGrid>
      <w:tr>
        <w:trPr/>
        <w:tc>
          <w:tcPr>
            <w:tcW w:w="1563" w:type="dxa"/>
            <w:tcBorders>
              <w:bottom w:val="single" w:sz="12" w:space="0" w:color="000000"/>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Company</w:t>
            </w:r>
            <w:r>
              <w:rPr>
                <w:rFonts w:ascii="Times New Roman;Times;Serif" w:hAnsi="Times New Roman;Times;Serif"/>
                <w:b/>
                <w:position w:val="6"/>
                <w:sz w:val="14"/>
                <w:sz w:val="18"/>
              </w:rPr>
              <w:t>(1)</w:t>
            </w:r>
          </w:p>
        </w:tc>
        <w:tc>
          <w:tcPr>
            <w:tcW w:w="90" w:type="dxa"/>
            <w:tcBorders/>
            <w:tcMar>
              <w:bottom w:w="0" w:type="dxa"/>
            </w:tcMar>
            <w:vAlign w:val="center"/>
          </w:tcPr>
          <w:p>
            <w:pPr>
              <w:pStyle w:val="TableContents"/>
              <w:bidi w:val="0"/>
              <w:spacing w:before="0" w:after="283"/>
              <w:jc w:val="left"/>
              <w:rPr/>
            </w:pPr>
            <w:r>
              <w:rPr/>
              <w:t> </w:t>
            </w:r>
          </w:p>
        </w:tc>
        <w:tc>
          <w:tcPr>
            <w:tcW w:w="113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Industry</w:t>
            </w:r>
          </w:p>
        </w:tc>
        <w:tc>
          <w:tcPr>
            <w:tcW w:w="90" w:type="dxa"/>
            <w:tcBorders/>
            <w:tcMar>
              <w:bottom w:w="0" w:type="dxa"/>
            </w:tcMar>
            <w:vAlign w:val="center"/>
          </w:tcPr>
          <w:p>
            <w:pPr>
              <w:pStyle w:val="TableContents"/>
              <w:bidi w:val="0"/>
              <w:spacing w:before="0" w:after="283"/>
              <w:jc w:val="left"/>
              <w:rPr/>
            </w:pPr>
            <w:r>
              <w:rPr/>
              <w:t> </w:t>
            </w:r>
          </w:p>
        </w:tc>
        <w:tc>
          <w:tcPr>
            <w:tcW w:w="173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Type of Investment</w:t>
            </w:r>
          </w:p>
        </w:tc>
        <w:tc>
          <w:tcPr>
            <w:tcW w:w="90" w:type="dxa"/>
            <w:tcBorders/>
            <w:tcMar>
              <w:bottom w:w="0" w:type="dxa"/>
            </w:tcMar>
            <w:vAlign w:val="center"/>
          </w:tcPr>
          <w:p>
            <w:pPr>
              <w:pStyle w:val="TableContents"/>
              <w:bidi w:val="0"/>
              <w:spacing w:before="0" w:after="283"/>
              <w:jc w:val="left"/>
              <w:rPr/>
            </w:pPr>
            <w:r>
              <w:rPr/>
              <w:t> </w:t>
            </w:r>
          </w:p>
        </w:tc>
        <w:tc>
          <w:tcPr>
            <w:tcW w:w="75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Maturity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8"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Par Amount/</w:t>
              <w:br/>
              <w:t>Shares/Units</w:t>
            </w:r>
            <w:r>
              <w:rPr>
                <w:rFonts w:ascii="Times New Roman;Times;Serif" w:hAnsi="Times New Roman;Times;Serif"/>
                <w:b/>
                <w:position w:val="6"/>
                <w:sz w:val="14"/>
                <w:sz w:val="18"/>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xml:space="preserve">Amortized </w:t>
              <w:br/>
              <w:t>Cost</w:t>
            </w:r>
            <w:r>
              <w:rPr>
                <w:rFonts w:ascii="Times New Roman;Times;Serif" w:hAnsi="Times New Roman;Times;Serif"/>
                <w:b/>
                <w:position w:val="6"/>
                <w:sz w:val="14"/>
                <w:sz w:val="18"/>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xml:space="preserve">Fair </w:t>
              <w:br/>
              <w:t>Value</w:t>
            </w:r>
            <w:r>
              <w:rPr>
                <w:rFonts w:ascii="Times New Roman;Times;Serif" w:hAnsi="Times New Roman;Times;Serif"/>
                <w:b/>
                <w:position w:val="6"/>
                <w:sz w:val="14"/>
                <w:sz w:val="18"/>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of Net </w:t>
              <w:br/>
              <w:t>Assets</w:t>
            </w:r>
            <w:r>
              <w:rPr>
                <w:rFonts w:ascii="Times New Roman;Times;Serif" w:hAnsi="Times New Roman;Times;Serif"/>
                <w:b/>
                <w:position w:val="6"/>
                <w:sz w:val="14"/>
                <w:sz w:val="18"/>
              </w:rPr>
              <w:t>(5)</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63" w:type="dxa"/>
            <w:tcBorders/>
            <w:tcMar>
              <w:bottom w:w="0" w:type="dxa"/>
            </w:tcMar>
            <w:vAlign w:val="center"/>
          </w:tcPr>
          <w:p>
            <w:pPr>
              <w:pStyle w:val="TableContents"/>
              <w:bidi w:val="0"/>
              <w:spacing w:before="0" w:after="283"/>
              <w:ind w:left="0" w:right="0" w:hanging="180"/>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8"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gridSpan w:val="2"/>
            <w:tcBorders/>
            <w:tcMar>
              <w:bottom w:w="0" w:type="dxa"/>
            </w:tcMar>
            <w:vAlign w:val="center"/>
          </w:tcPr>
          <w:p>
            <w:pPr>
              <w:pStyle w:val="TableContents"/>
              <w:bidi w:val="0"/>
              <w:spacing w:before="0" w:after="283"/>
              <w:jc w:val="left"/>
              <w:rPr/>
            </w:pPr>
            <w:r>
              <w:rPr/>
              <w:t> </w:t>
            </w:r>
          </w:p>
        </w:tc>
        <w:tc>
          <w:tcPr>
            <w:tcW w:w="249" w:type="dxa"/>
            <w:tcBorders/>
            <w:tcMar>
              <w:bottom w:w="0" w:type="dxa"/>
            </w:tcMar>
            <w:vAlign w:val="center"/>
          </w:tcPr>
          <w:p>
            <w:pPr>
              <w:pStyle w:val="TableContents"/>
              <w:bidi w:val="0"/>
              <w:spacing w:before="0" w:after="283"/>
              <w:jc w:val="left"/>
              <w:rPr/>
            </w:pPr>
            <w:r>
              <w:rPr/>
              <w:t> </w:t>
            </w:r>
          </w:p>
        </w:tc>
      </w:tr>
      <w:tr>
        <w:trPr/>
        <w:tc>
          <w:tcPr>
            <w:tcW w:w="4615" w:type="dxa"/>
            <w:gridSpan w:val="5"/>
            <w:tcBorders/>
            <w:tcMar>
              <w:bottom w:w="0" w:type="dxa"/>
            </w:tcMar>
            <w:vAlign w:val="center"/>
          </w:tcPr>
          <w:p>
            <w:pPr>
              <w:pStyle w:val="TableContents"/>
              <w:bidi w:val="0"/>
              <w:spacing w:before="0" w:after="283"/>
              <w:jc w:val="left"/>
              <w:rPr>
                <w:rFonts w:ascii="Times New Roman;Times;Serif" w:hAnsi="Times New Roman;Times;Serif"/>
                <w:b/>
                <w:sz w:val="18"/>
                <w:u w:val="single"/>
              </w:rPr>
            </w:pPr>
            <w:r>
              <w:rPr>
                <w:rFonts w:ascii="Times New Roman;Times;Serif" w:hAnsi="Times New Roman;Times;Serif"/>
                <w:b/>
                <w:sz w:val="18"/>
                <w:u w:val="single"/>
              </w:rPr>
              <w:t>Non-Controlled/Non-Affiliated Investments:</w:t>
            </w:r>
          </w:p>
        </w:tc>
        <w:tc>
          <w:tcPr>
            <w:tcW w:w="90"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89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648" w:type="dxa"/>
            <w:tcBorders/>
            <w:tcMar>
              <w:bottom w:w="0" w:type="dxa"/>
            </w:tcMar>
            <w:vAlign w:val="center"/>
          </w:tcPr>
          <w:p>
            <w:pPr>
              <w:pStyle w:val="TableContents"/>
              <w:bidi w:val="0"/>
              <w:spacing w:before="0" w:after="283"/>
              <w:jc w:val="right"/>
              <w:rPr/>
            </w:pPr>
            <w:r>
              <w:rPr/>
              <w:t> </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63" w:type="dxa"/>
            <w:tcBorders/>
            <w:tcMar>
              <w:bottom w:w="0" w:type="dxa"/>
            </w:tcMar>
            <w:vAlign w:val="center"/>
          </w:tcPr>
          <w:p>
            <w:pPr>
              <w:pStyle w:val="TableContents"/>
              <w:bidi w:val="0"/>
              <w:spacing w:before="0" w:after="283"/>
              <w:ind w:left="0" w:right="0" w:hanging="180"/>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89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648" w:type="dxa"/>
            <w:tcBorders/>
            <w:tcMar>
              <w:bottom w:w="0" w:type="dxa"/>
            </w:tcMar>
            <w:vAlign w:val="center"/>
          </w:tcPr>
          <w:p>
            <w:pPr>
              <w:pStyle w:val="TableContents"/>
              <w:bidi w:val="0"/>
              <w:spacing w:before="0" w:after="283"/>
              <w:jc w:val="right"/>
              <w:rPr/>
            </w:pPr>
            <w:r>
              <w:rPr/>
              <w:t> </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Adamas Trust,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- 44,490 Class E Preferred Units(13)(24)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sz w:val="18"/>
              </w:rPr>
            </w:pPr>
            <w:r>
              <w:rPr>
                <w:sz w:val="18"/>
              </w:rPr>
              <w:t>44,490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1,103,267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1,125,597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18"/>
              </w:rPr>
              <w:t>0.71</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- 17,243 Class F Preferred Units(13)(18)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89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17,243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375,635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419,350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bottom w:val="single" w:sz="12" w:space="0" w:color="000000"/>
            </w:tcBorders>
            <w:shd w:fill="CCEEFF" w:val="clear"/>
            <w:vAlign w:val="center"/>
          </w:tcPr>
          <w:p>
            <w:pPr>
              <w:pStyle w:val="TableContents"/>
              <w:bidi w:val="0"/>
              <w:spacing w:before="0" w:after="283"/>
              <w:jc w:val="left"/>
              <w:rPr/>
            </w:pPr>
            <w:r>
              <w:rPr/>
              <w:t> </w:t>
            </w:r>
          </w:p>
        </w:tc>
        <w:tc>
          <w:tcPr>
            <w:tcW w:w="64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0.27</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61,733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1,478,902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1,544,947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0.98</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tcMar>
              <w:bottom w:w="0" w:type="dxa"/>
            </w:tcMar>
            <w:vAlign w:val="center"/>
          </w:tcPr>
          <w:p>
            <w:pPr>
              <w:pStyle w:val="TableContents"/>
              <w:bidi w:val="0"/>
              <w:spacing w:before="0" w:after="283"/>
              <w:ind w:left="0" w:right="0" w:hanging="180"/>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89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648" w:type="dxa"/>
            <w:tcBorders/>
            <w:tcMar>
              <w:bottom w:w="0" w:type="dxa"/>
            </w:tcMar>
            <w:vAlign w:val="center"/>
          </w:tcPr>
          <w:p>
            <w:pPr>
              <w:pStyle w:val="TableContents"/>
              <w:bidi w:val="0"/>
              <w:spacing w:before="0" w:after="283"/>
              <w:jc w:val="right"/>
              <w:rPr/>
            </w:pPr>
            <w:r>
              <w:rPr/>
              <w:t> </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Altisource S.A.R.L.(11)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Services: Business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Lien Term Loan B  (SOFR + CSA + 6.50%)(14)(19)(20)(24)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4/30/2030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7,999,115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8,923,358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8,359,075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5.30</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- 547,179 Units(13)(21)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547,179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3,327,903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4,103,843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2.60</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Warrants(13)(21)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4/2/2029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111,343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647,105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44,537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0.03</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Warrants(13)(21)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4/30/2032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89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111,343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622,110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31,176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bottom w:val="single" w:sz="12" w:space="0" w:color="000000"/>
            </w:tcBorders>
            <w:shd w:fill="CCEEFF" w:val="clear"/>
            <w:vAlign w:val="center"/>
          </w:tcPr>
          <w:p>
            <w:pPr>
              <w:pStyle w:val="TableContents"/>
              <w:bidi w:val="0"/>
              <w:spacing w:before="0" w:after="283"/>
              <w:jc w:val="left"/>
              <w:rPr/>
            </w:pPr>
            <w:r>
              <w:rPr/>
              <w:t> </w:t>
            </w:r>
          </w:p>
        </w:tc>
        <w:tc>
          <w:tcPr>
            <w:tcW w:w="64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0.02</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8,768,980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13,520,476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12,538,631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7.95</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tcMar>
              <w:bottom w:w="0" w:type="dxa"/>
            </w:tcMar>
            <w:vAlign w:val="center"/>
          </w:tcPr>
          <w:p>
            <w:pPr>
              <w:pStyle w:val="TableContents"/>
              <w:bidi w:val="0"/>
              <w:spacing w:before="0" w:after="283"/>
              <w:ind w:left="0" w:right="0" w:hanging="180"/>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89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648" w:type="dxa"/>
            <w:tcBorders/>
            <w:tcMar>
              <w:bottom w:w="0" w:type="dxa"/>
            </w:tcMar>
            <w:vAlign w:val="center"/>
          </w:tcPr>
          <w:p>
            <w:pPr>
              <w:pStyle w:val="TableContents"/>
              <w:bidi w:val="0"/>
              <w:spacing w:before="0" w:after="283"/>
              <w:jc w:val="right"/>
              <w:rPr/>
            </w:pPr>
            <w:r>
              <w:rPr/>
              <w:t> </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Arora Engineers,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Construction &amp; Building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First Lien Term Loan (SOFR + 7.00%, 3.00% Floor)(23)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12/30/2030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9,628,125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9,449,978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9,387,422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5.95</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Arora Holdings,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Warrants - 444,382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444,382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870,125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802,585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0.51</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Jacmel Arora,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- 3,150,000 Preferred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89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3,377,999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2,185,375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2,436,382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bottom w:val="single" w:sz="12" w:space="0" w:color="000000"/>
            </w:tcBorders>
            <w:shd w:fill="CCEEFF" w:val="clear"/>
            <w:vAlign w:val="center"/>
          </w:tcPr>
          <w:p>
            <w:pPr>
              <w:pStyle w:val="TableContents"/>
              <w:bidi w:val="0"/>
              <w:spacing w:before="0" w:after="283"/>
              <w:jc w:val="left"/>
              <w:rPr/>
            </w:pPr>
            <w:r>
              <w:rPr/>
              <w:t> </w:t>
            </w:r>
          </w:p>
        </w:tc>
        <w:tc>
          <w:tcPr>
            <w:tcW w:w="64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1.54</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13,540,506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12,505,478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12,626,389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8.00</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tcMar>
              <w:bottom w:w="0" w:type="dxa"/>
            </w:tcMar>
            <w:vAlign w:val="center"/>
          </w:tcPr>
          <w:p>
            <w:pPr>
              <w:pStyle w:val="TableContents"/>
              <w:bidi w:val="0"/>
              <w:spacing w:before="0" w:after="283"/>
              <w:ind w:left="0" w:right="0" w:hanging="180"/>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89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648" w:type="dxa"/>
            <w:tcBorders/>
            <w:tcMar>
              <w:bottom w:w="0" w:type="dxa"/>
            </w:tcMar>
            <w:vAlign w:val="center"/>
          </w:tcPr>
          <w:p>
            <w:pPr>
              <w:pStyle w:val="TableContents"/>
              <w:bidi w:val="0"/>
              <w:spacing w:before="0" w:after="283"/>
              <w:jc w:val="right"/>
              <w:rPr/>
            </w:pPr>
            <w:r>
              <w:rPr/>
              <w:t> </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Copper Property CTL Pass Through Trust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Certificates(13)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89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437,795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4,324,211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4,771,966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bottom w:val="single" w:sz="12" w:space="0" w:color="000000"/>
            </w:tcBorders>
            <w:shd w:fill="CCEEFF" w:val="clear"/>
            <w:vAlign w:val="center"/>
          </w:tcPr>
          <w:p>
            <w:pPr>
              <w:pStyle w:val="TableContents"/>
              <w:bidi w:val="0"/>
              <w:spacing w:before="0" w:after="283"/>
              <w:jc w:val="left"/>
              <w:rPr/>
            </w:pPr>
            <w:r>
              <w:rPr/>
              <w:t> </w:t>
            </w:r>
          </w:p>
        </w:tc>
        <w:tc>
          <w:tcPr>
            <w:tcW w:w="64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3.02</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437,795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4,324,211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4,771,966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3.02</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tcMar>
              <w:bottom w:w="0" w:type="dxa"/>
            </w:tcMar>
            <w:vAlign w:val="center"/>
          </w:tcPr>
          <w:p>
            <w:pPr>
              <w:pStyle w:val="TableContents"/>
              <w:bidi w:val="0"/>
              <w:spacing w:before="0" w:after="283"/>
              <w:ind w:left="0" w:right="0" w:hanging="180"/>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89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648" w:type="dxa"/>
            <w:tcBorders/>
            <w:tcMar>
              <w:bottom w:w="0" w:type="dxa"/>
            </w:tcMar>
            <w:vAlign w:val="center"/>
          </w:tcPr>
          <w:p>
            <w:pPr>
              <w:pStyle w:val="TableContents"/>
              <w:bidi w:val="0"/>
              <w:spacing w:before="0" w:after="283"/>
              <w:jc w:val="right"/>
              <w:rPr/>
            </w:pPr>
            <w:r>
              <w:rPr/>
              <w:t> </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Innovate Corp.(11)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Construction &amp; Building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10.50% Senior Secured Notes(14)(29)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2/1/2027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89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4,797,426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4,262,089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4,209,741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bottom w:val="single" w:sz="12" w:space="0" w:color="000000"/>
            </w:tcBorders>
            <w:shd w:fill="CCEEFF" w:val="clear"/>
            <w:vAlign w:val="center"/>
          </w:tcPr>
          <w:p>
            <w:pPr>
              <w:pStyle w:val="TableContents"/>
              <w:bidi w:val="0"/>
              <w:spacing w:before="0" w:after="283"/>
              <w:jc w:val="left"/>
              <w:rPr/>
            </w:pPr>
            <w:r>
              <w:rPr/>
              <w:t> </w:t>
            </w:r>
          </w:p>
        </w:tc>
        <w:tc>
          <w:tcPr>
            <w:tcW w:w="64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2.67</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4,797,426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4,262,089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4,209,741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2.67</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tcMar>
              <w:bottom w:w="0" w:type="dxa"/>
            </w:tcMar>
            <w:vAlign w:val="center"/>
          </w:tcPr>
          <w:p>
            <w:pPr>
              <w:pStyle w:val="TableContents"/>
              <w:bidi w:val="0"/>
              <w:spacing w:before="0" w:after="283"/>
              <w:ind w:left="0" w:right="0" w:hanging="180"/>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89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648" w:type="dxa"/>
            <w:tcBorders/>
            <w:tcMar>
              <w:bottom w:w="0" w:type="dxa"/>
            </w:tcMar>
            <w:vAlign w:val="center"/>
          </w:tcPr>
          <w:p>
            <w:pPr>
              <w:pStyle w:val="TableContents"/>
              <w:bidi w:val="0"/>
              <w:spacing w:before="0" w:after="283"/>
              <w:jc w:val="right"/>
              <w:rPr/>
            </w:pPr>
            <w:r>
              <w:rPr/>
              <w:t> </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Invesco Mortgage Capital,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- 180,000 Common Units(13)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89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1,411,789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1,422,000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bottom w:val="single" w:sz="12" w:space="0" w:color="000000"/>
            </w:tcBorders>
            <w:shd w:fill="CCEEFF" w:val="clear"/>
            <w:vAlign w:val="center"/>
          </w:tcPr>
          <w:p>
            <w:pPr>
              <w:pStyle w:val="TableContents"/>
              <w:bidi w:val="0"/>
              <w:spacing w:before="0" w:after="283"/>
              <w:jc w:val="left"/>
              <w:rPr/>
            </w:pPr>
            <w:r>
              <w:rPr/>
              <w:t> </w:t>
            </w:r>
          </w:p>
        </w:tc>
        <w:tc>
          <w:tcPr>
            <w:tcW w:w="64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0.90</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1,411,789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1,422,000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0.90</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tcMar>
              <w:bottom w:w="0" w:type="dxa"/>
            </w:tcMar>
            <w:vAlign w:val="center"/>
          </w:tcPr>
          <w:p>
            <w:pPr>
              <w:pStyle w:val="TableContents"/>
              <w:bidi w:val="0"/>
              <w:spacing w:before="0" w:after="283"/>
              <w:ind w:left="0" w:right="0" w:hanging="180"/>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89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648" w:type="dxa"/>
            <w:tcBorders/>
            <w:tcMar>
              <w:bottom w:w="0" w:type="dxa"/>
            </w:tcMar>
            <w:vAlign w:val="center"/>
          </w:tcPr>
          <w:p>
            <w:pPr>
              <w:pStyle w:val="TableContents"/>
              <w:bidi w:val="0"/>
              <w:spacing w:before="0" w:after="283"/>
              <w:jc w:val="right"/>
              <w:rPr/>
            </w:pPr>
            <w:r>
              <w:rPr/>
              <w:t> </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JFL-NGS-WCS Partners,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Construction &amp; Building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- 10,000,000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89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bottom w:val="single" w:sz="12" w:space="0" w:color="000000"/>
            </w:tcBorders>
            <w:shd w:fill="CCEEFF" w:val="clear"/>
            <w:vAlign w:val="center"/>
          </w:tcPr>
          <w:p>
            <w:pPr>
              <w:pStyle w:val="TableContents"/>
              <w:bidi w:val="0"/>
              <w:spacing w:before="0" w:after="283"/>
              <w:jc w:val="left"/>
              <w:rPr/>
            </w:pPr>
            <w:r>
              <w:rPr/>
              <w:t> </w:t>
            </w:r>
          </w:p>
        </w:tc>
        <w:tc>
          <w:tcPr>
            <w:tcW w:w="64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8.87</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8.87</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tcMar>
              <w:bottom w:w="0" w:type="dxa"/>
            </w:tcMar>
            <w:vAlign w:val="center"/>
          </w:tcPr>
          <w:p>
            <w:pPr>
              <w:pStyle w:val="TableContents"/>
              <w:bidi w:val="0"/>
              <w:spacing w:before="0" w:after="283"/>
              <w:ind w:left="0" w:right="0" w:hanging="180"/>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89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648" w:type="dxa"/>
            <w:tcBorders/>
            <w:tcMar>
              <w:bottom w:w="0" w:type="dxa"/>
            </w:tcMar>
            <w:vAlign w:val="center"/>
          </w:tcPr>
          <w:p>
            <w:pPr>
              <w:pStyle w:val="TableContents"/>
              <w:bidi w:val="0"/>
              <w:spacing w:before="0" w:after="283"/>
              <w:jc w:val="right"/>
              <w:rPr/>
            </w:pPr>
            <w:r>
              <w:rPr/>
              <w:t> </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Lucky Bucks, LLC (dba Arc Gaming &amp; Technologies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Consumer Discretionary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Priority Second Out Term Loan (SOFR + CSA + 7.50%, 1.00% Floor)(20)(24)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10/2/2029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2,368,157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2,223,630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1,373,531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0.87</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Priority First Out Exit Term Loan (SOFR + CSA + 7.50%, 1.00% Floor)(20)(24)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10/2/2028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1,650,120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1,547,132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1,584,115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LB NewHoldCo,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- 230,739 Membership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89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230,739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449,393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bottom w:val="single" w:sz="12" w:space="0" w:color="000000"/>
            </w:tcBorders>
            <w:shd w:fill="CCEEFF" w:val="clear"/>
            <w:vAlign w:val="center"/>
          </w:tcPr>
          <w:p>
            <w:pPr>
              <w:pStyle w:val="TableContents"/>
              <w:bidi w:val="0"/>
              <w:spacing w:before="0" w:after="283"/>
              <w:jc w:val="left"/>
              <w:rPr/>
            </w:pPr>
            <w:r>
              <w:rPr/>
              <w:t> </w:t>
            </w:r>
          </w:p>
        </w:tc>
        <w:tc>
          <w:tcPr>
            <w:tcW w:w="64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0.00</w:t>
            </w:r>
          </w:p>
        </w:tc>
        <w:tc>
          <w:tcPr>
            <w:tcW w:w="24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563" w:type="dxa"/>
            <w:tcBorders/>
            <w:shd w:fill="CCEEFF" w:val="clear"/>
            <w:tcMar>
              <w:bottom w:w="0" w:type="dxa"/>
            </w:tcMar>
            <w:vAlign w:val="center"/>
          </w:tcPr>
          <w:p>
            <w:pPr>
              <w:pStyle w:val="TableContents"/>
              <w:bidi w:val="0"/>
              <w:spacing w:before="0" w:after="283"/>
              <w:ind w:left="0" w:right="0" w:hanging="180"/>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4,249,016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4,220,155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2,957,646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1.87</w:t>
            </w:r>
          </w:p>
        </w:tc>
        <w:tc>
          <w:tcPr>
            <w:tcW w:w="24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34"/>
        <w:gridCol w:w="90"/>
        <w:gridCol w:w="1411"/>
        <w:gridCol w:w="90"/>
        <w:gridCol w:w="1942"/>
        <w:gridCol w:w="90"/>
        <w:gridCol w:w="762"/>
        <w:gridCol w:w="90"/>
        <w:gridCol w:w="90"/>
        <w:gridCol w:w="96"/>
        <w:gridCol w:w="827"/>
        <w:gridCol w:w="90"/>
        <w:gridCol w:w="90"/>
        <w:gridCol w:w="140"/>
        <w:gridCol w:w="770"/>
        <w:gridCol w:w="90"/>
        <w:gridCol w:w="90"/>
        <w:gridCol w:w="140"/>
        <w:gridCol w:w="770"/>
        <w:gridCol w:w="90"/>
        <w:gridCol w:w="90"/>
        <w:gridCol w:w="90"/>
        <w:gridCol w:w="785"/>
        <w:gridCol w:w="248"/>
      </w:tblGrid>
      <w:tr>
        <w:trPr/>
        <w:tc>
          <w:tcPr>
            <w:tcW w:w="1234" w:type="dxa"/>
            <w:tcBorders>
              <w:bottom w:val="single" w:sz="12" w:space="0" w:color="000000"/>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Company</w:t>
            </w:r>
            <w:r>
              <w:rPr>
                <w:rFonts w:ascii="Times New Roman;Times;Serif" w:hAnsi="Times New Roman;Times;Serif"/>
                <w:b/>
                <w:position w:val="6"/>
                <w:sz w:val="14"/>
                <w:sz w:val="18"/>
              </w:rPr>
              <w:t>(1)</w:t>
            </w:r>
          </w:p>
        </w:tc>
        <w:tc>
          <w:tcPr>
            <w:tcW w:w="90" w:type="dxa"/>
            <w:tcBorders/>
            <w:tcMar>
              <w:bottom w:w="0" w:type="dxa"/>
            </w:tcMar>
            <w:vAlign w:val="center"/>
          </w:tcPr>
          <w:p>
            <w:pPr>
              <w:pStyle w:val="TableContents"/>
              <w:bidi w:val="0"/>
              <w:spacing w:before="0" w:after="283"/>
              <w:jc w:val="left"/>
              <w:rPr/>
            </w:pPr>
            <w:r>
              <w:rPr/>
              <w:t> </w:t>
            </w:r>
          </w:p>
        </w:tc>
        <w:tc>
          <w:tcPr>
            <w:tcW w:w="141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Industry</w:t>
            </w:r>
          </w:p>
        </w:tc>
        <w:tc>
          <w:tcPr>
            <w:tcW w:w="90" w:type="dxa"/>
            <w:tcBorders/>
            <w:tcMar>
              <w:bottom w:w="0" w:type="dxa"/>
            </w:tcMar>
            <w:vAlign w:val="center"/>
          </w:tcPr>
          <w:p>
            <w:pPr>
              <w:pStyle w:val="TableContents"/>
              <w:bidi w:val="0"/>
              <w:spacing w:before="0" w:after="283"/>
              <w:jc w:val="left"/>
              <w:rPr/>
            </w:pPr>
            <w:r>
              <w:rPr/>
              <w:t> </w:t>
            </w:r>
          </w:p>
        </w:tc>
        <w:tc>
          <w:tcPr>
            <w:tcW w:w="194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Type of Investment</w:t>
            </w:r>
          </w:p>
        </w:tc>
        <w:tc>
          <w:tcPr>
            <w:tcW w:w="90" w:type="dxa"/>
            <w:tcBorders/>
            <w:tcMar>
              <w:bottom w:w="0" w:type="dxa"/>
            </w:tcMar>
            <w:vAlign w:val="center"/>
          </w:tcPr>
          <w:p>
            <w:pPr>
              <w:pStyle w:val="TableContents"/>
              <w:bidi w:val="0"/>
              <w:spacing w:before="0" w:after="283"/>
              <w:jc w:val="left"/>
              <w:rPr/>
            </w:pPr>
            <w:r>
              <w:rPr/>
              <w:t> </w:t>
            </w:r>
          </w:p>
        </w:tc>
        <w:tc>
          <w:tcPr>
            <w:tcW w:w="76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Maturity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3"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Par Amount/</w:t>
              <w:br/>
              <w:t>Shares/Units</w:t>
            </w:r>
            <w:r>
              <w:rPr>
                <w:rFonts w:ascii="Times New Roman;Times;Serif" w:hAnsi="Times New Roman;Times;Serif"/>
                <w:b/>
                <w:position w:val="6"/>
                <w:sz w:val="14"/>
                <w:sz w:val="18"/>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xml:space="preserve">Amortized </w:t>
              <w:br/>
              <w:t>Cost</w:t>
            </w:r>
            <w:r>
              <w:rPr>
                <w:rFonts w:ascii="Times New Roman;Times;Serif" w:hAnsi="Times New Roman;Times;Serif"/>
                <w:b/>
                <w:position w:val="6"/>
                <w:sz w:val="14"/>
                <w:sz w:val="18"/>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xml:space="preserve">Fair </w:t>
              <w:br/>
              <w:t>Value</w:t>
            </w:r>
            <w:r>
              <w:rPr>
                <w:rFonts w:ascii="Times New Roman;Times;Serif" w:hAnsi="Times New Roman;Times;Serif"/>
                <w:b/>
                <w:position w:val="6"/>
                <w:sz w:val="14"/>
                <w:sz w:val="18"/>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of Net </w:t>
              <w:br/>
              <w:t>Assets</w:t>
            </w:r>
            <w:r>
              <w:rPr>
                <w:rFonts w:ascii="Times New Roman;Times;Serif" w:hAnsi="Times New Roman;Times;Serif"/>
                <w:b/>
                <w:position w:val="6"/>
                <w:sz w:val="14"/>
                <w:sz w:val="18"/>
              </w:rPr>
              <w:t>(5)</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234"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MFA Financial,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- 39,493 Class C Preferred Units(13)(24)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39,493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971,472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889,382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0.56</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shd w:fill="CCEEFF" w:val="clear"/>
            <w:tcMar>
              <w:bottom w:w="0" w:type="dxa"/>
            </w:tcMar>
            <w:vAlign w:val="center"/>
          </w:tcPr>
          <w:p>
            <w:pPr>
              <w:pStyle w:val="TableContents"/>
              <w:bidi w:val="0"/>
              <w:spacing w:before="0" w:after="283"/>
              <w:ind w:left="0" w:right="0" w:hanging="180"/>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- 110,000 Common Units(13)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1,036,510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1,065,900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0.68</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shd w:fill="CCEEFF" w:val="clear"/>
            <w:tcMar>
              <w:bottom w:w="0" w:type="dxa"/>
            </w:tcMar>
            <w:vAlign w:val="center"/>
          </w:tcPr>
          <w:p>
            <w:pPr>
              <w:pStyle w:val="TableContents"/>
              <w:bidi w:val="0"/>
              <w:spacing w:before="0" w:after="283"/>
              <w:ind w:left="0" w:right="0" w:hanging="180"/>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149,493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2,007,982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1,955,282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1.24</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tcMar>
              <w:bottom w:w="0" w:type="dxa"/>
            </w:tcMar>
            <w:vAlign w:val="center"/>
          </w:tcPr>
          <w:p>
            <w:pPr>
              <w:pStyle w:val="TableContents"/>
              <w:bidi w:val="0"/>
              <w:spacing w:before="0" w:after="283"/>
              <w:ind w:left="0" w:right="0" w:hanging="180"/>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4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2"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82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2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Monitronics International,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Services: Business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Lien Term Loan (SOFR + CSA + 7.50%, 3.00% Floor)(14)(20)(24)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6/30/2028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1,987,392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1,987,392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1,977,455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       </w:t>
            </w:r>
            <w:r>
              <w:rPr>
                <w:rFonts w:ascii="Times New Roman;Times;Serif" w:hAnsi="Times New Roman;Times;Serif"/>
                <w:sz w:val="18"/>
              </w:rPr>
              <w:t>1.25</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1,987,392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1,987,392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1,977,455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1.25</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4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2"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82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2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Onity Group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- 200,000 Preferred Units(16)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4,016,000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2.54</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- 35,000 Common Units(13)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1,348,947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1,391,250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0.88</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5,273,947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5,407,250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3.42</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4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2"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82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2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PHH Mortgage Corp.</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9.875% Senior Secured Note(14)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11/1/2029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3,816,800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3,905,000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2.47</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3,816,800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3,905,000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2.47</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4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2"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82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2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Power Stop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Automotive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Lien Term Loan (SOFR + CSA + 4.50%, 0.50% Floor)(14)(20)(24)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1/26/2029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9,627,792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8,441,255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8,893,673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5.63</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9,627,792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8,441,255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8,893,673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5.63</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4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2"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82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2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PREIT Associates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Lien Term Loan (SOFR + 7.00%)(14)(23)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4/1/2029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34,959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34,260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35,440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0.02</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Revolving Note (SOFR + 5.50%)(8)(23)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12/31/2028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97,606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96,753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95,161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0.06</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132,565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131,013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130,601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0.08</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4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2"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82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2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PSB Group,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Services: Consumer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Lien Term Loan (SOFR + 6.75%, 1.00% Floor)(23)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4/17/2030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8,529,909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8,492,029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8,529,909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5.40</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Lien Revolver (SOFR + 6.50%, 1.00% Floor)(8)(12)(23)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4/17/2030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7"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0.00</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8,529,909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8,492,029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8,529,909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5.40</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4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2"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82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2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Redwood Trust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- 185,000 Common Units(13)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1,789,262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1,469,400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0.93</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1,789,262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1,469,400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0.93</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4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2"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82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2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Revolt Media and TV,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Media: Broadcasting &amp; Subscription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Out Term Loan (SOFR + CSA + 7.25%, 3.00% Floor)(20)(23)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7/31/2029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7,440,913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7,440,000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4.71</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23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7,440,913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7,440,000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4.71</w:t>
            </w:r>
          </w:p>
        </w:tc>
        <w:tc>
          <w:tcPr>
            <w:tcW w:w="2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31"/>
        <w:gridCol w:w="90"/>
        <w:gridCol w:w="1374"/>
        <w:gridCol w:w="90"/>
        <w:gridCol w:w="1773"/>
        <w:gridCol w:w="90"/>
        <w:gridCol w:w="759"/>
        <w:gridCol w:w="90"/>
        <w:gridCol w:w="90"/>
        <w:gridCol w:w="93"/>
        <w:gridCol w:w="897"/>
        <w:gridCol w:w="90"/>
        <w:gridCol w:w="90"/>
        <w:gridCol w:w="90"/>
        <w:gridCol w:w="860"/>
        <w:gridCol w:w="90"/>
        <w:gridCol w:w="90"/>
        <w:gridCol w:w="90"/>
        <w:gridCol w:w="860"/>
        <w:gridCol w:w="90"/>
        <w:gridCol w:w="90"/>
        <w:gridCol w:w="146"/>
        <w:gridCol w:w="594"/>
        <w:gridCol w:w="248"/>
      </w:tblGrid>
      <w:tr>
        <w:trPr/>
        <w:tc>
          <w:tcPr>
            <w:tcW w:w="1431" w:type="dxa"/>
            <w:tcBorders>
              <w:bottom w:val="single" w:sz="12" w:space="0" w:color="000000"/>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Company</w:t>
            </w:r>
            <w:r>
              <w:rPr>
                <w:rFonts w:ascii="Times New Roman;Times;Serif" w:hAnsi="Times New Roman;Times;Serif"/>
                <w:b/>
                <w:position w:val="6"/>
                <w:sz w:val="14"/>
                <w:sz w:val="18"/>
              </w:rPr>
              <w:t>(1)</w:t>
            </w:r>
          </w:p>
        </w:tc>
        <w:tc>
          <w:tcPr>
            <w:tcW w:w="90" w:type="dxa"/>
            <w:tcBorders/>
            <w:tcMar>
              <w:bottom w:w="0" w:type="dxa"/>
            </w:tcMar>
            <w:vAlign w:val="center"/>
          </w:tcPr>
          <w:p>
            <w:pPr>
              <w:pStyle w:val="TableContents"/>
              <w:bidi w:val="0"/>
              <w:spacing w:before="0" w:after="283"/>
              <w:jc w:val="left"/>
              <w:rPr/>
            </w:pPr>
            <w:r>
              <w:rPr/>
              <w:t> </w:t>
            </w:r>
          </w:p>
        </w:tc>
        <w:tc>
          <w:tcPr>
            <w:tcW w:w="137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Industry</w:t>
            </w:r>
          </w:p>
        </w:tc>
        <w:tc>
          <w:tcPr>
            <w:tcW w:w="90" w:type="dxa"/>
            <w:tcBorders/>
            <w:tcMar>
              <w:bottom w:w="0" w:type="dxa"/>
            </w:tcMar>
            <w:vAlign w:val="center"/>
          </w:tcPr>
          <w:p>
            <w:pPr>
              <w:pStyle w:val="TableContents"/>
              <w:bidi w:val="0"/>
              <w:spacing w:before="0" w:after="283"/>
              <w:jc w:val="left"/>
              <w:rPr/>
            </w:pPr>
            <w:r>
              <w:rPr/>
              <w:t> </w:t>
            </w:r>
          </w:p>
        </w:tc>
        <w:tc>
          <w:tcPr>
            <w:tcW w:w="177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Type of Investment</w:t>
            </w:r>
          </w:p>
        </w:tc>
        <w:tc>
          <w:tcPr>
            <w:tcW w:w="90" w:type="dxa"/>
            <w:tcBorders/>
            <w:tcMar>
              <w:bottom w:w="0" w:type="dxa"/>
            </w:tcMar>
            <w:vAlign w:val="center"/>
          </w:tcPr>
          <w:p>
            <w:pPr>
              <w:pStyle w:val="TableContents"/>
              <w:bidi w:val="0"/>
              <w:spacing w:before="0" w:after="283"/>
              <w:jc w:val="left"/>
              <w:rPr/>
            </w:pPr>
            <w:r>
              <w:rPr/>
              <w:t> </w:t>
            </w:r>
          </w:p>
        </w:tc>
        <w:tc>
          <w:tcPr>
            <w:tcW w:w="75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Maturity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Par Amount/</w:t>
              <w:br/>
              <w:t>Shares/Units</w:t>
            </w:r>
            <w:r>
              <w:rPr>
                <w:rFonts w:ascii="Times New Roman;Times;Serif" w:hAnsi="Times New Roman;Times;Serif"/>
                <w:b/>
                <w:position w:val="6"/>
                <w:sz w:val="14"/>
                <w:sz w:val="18"/>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xml:space="preserve">Amortized </w:t>
              <w:br/>
              <w:t>Cost</w:t>
            </w:r>
            <w:r>
              <w:rPr>
                <w:rFonts w:ascii="Times New Roman;Times;Serif" w:hAnsi="Times New Roman;Times;Serif"/>
                <w:b/>
                <w:position w:val="6"/>
                <w:sz w:val="14"/>
                <w:sz w:val="18"/>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xml:space="preserve">Fair </w:t>
              <w:br/>
              <w:t>Value</w:t>
            </w:r>
            <w:r>
              <w:rPr>
                <w:rFonts w:ascii="Times New Roman;Times;Serif" w:hAnsi="Times New Roman;Times;Serif"/>
                <w:b/>
                <w:position w:val="6"/>
                <w:sz w:val="14"/>
                <w:sz w:val="18"/>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of Net</w:t>
              <w:br/>
              <w:t>Assets</w:t>
            </w:r>
            <w:r>
              <w:rPr>
                <w:rFonts w:ascii="Times New Roman;Times;Serif" w:hAnsi="Times New Roman;Times;Serif"/>
                <w:b/>
                <w:position w:val="6"/>
                <w:sz w:val="14"/>
                <w:sz w:val="18"/>
              </w:rPr>
              <w:t>(5)</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4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Spotter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High Tech Industries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Series E-1 Preferred Stock(21)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51,786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750,005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776,272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0.49</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43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Series E-2-D Preferred Stock(21)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89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414,293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5,999,998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5,849,817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3.71</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43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466,079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6,750,003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6,626,089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4.20</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43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89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4"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4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SS Acquisition, LLC (dba Soccer Shots Franchising)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Services: Consumer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Lien Term Loan (SOFR + 5.75%, 1.00% Floor)(23)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12/20/2029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13,367,857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13,311,882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13,367,857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8.47</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43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Lien Revolver (SOFR + 5.75%, 1.00% Floor)(8)(12)(23)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12/20/2029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89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0.25</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43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13,767,857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13,711,882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13,767,857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8.72</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43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89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4"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4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Stancor (dba Industrial Flow Solutions Holdings,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Services: Business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- 358,867 Class A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89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358,867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345,491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317,967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0.20</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43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358,867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345,491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317,967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0.20</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43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89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4"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4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Tamarix Capital Partners II, L.P.(11)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Banking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Fund Investment(8)(22)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897" w:type="dxa"/>
            <w:tcBorders>
              <w:bottom w:val="single" w:sz="12" w:space="0" w:color="000000"/>
            </w:tcBorders>
            <w:shd w:fill="CCEEFF" w:val="clear"/>
            <w:vAlign w:val="center"/>
          </w:tcPr>
          <w:p>
            <w:pPr>
              <w:pStyle w:val="TableContents"/>
              <w:bidi w:val="0"/>
              <w:spacing w:before="0" w:after="283"/>
              <w:jc w:val="right"/>
              <w:rPr/>
            </w:pPr>
            <w:r>
              <w:rPr/>
              <w:t> </w:t>
            </w:r>
            <w:r>
              <w:rPr/>
              <w:t>N/A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2,138,134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2,412,444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1.53</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43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2,138,134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2,412,444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1.53</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43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89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4"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4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Thryv Holdings,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Media: Broadcasting &amp; Subscription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Lien Term Loan (SOFR + 6.75%, 1.00% Floor)(14)(23)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5/1/2029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89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2,012,049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1,984,500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1.26</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43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2,012,049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1,984,500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1.26</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43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89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4"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4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WHI Global,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Aerospace &amp; Defense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Revolving Note(SOFR + CSA + 8.75%, 3.00% Floor)(8)(12)(20)(23)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4/17/2029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1,925,973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1,911,532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1,912,492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1.21</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43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Lien Term Loan(SOFR + CSA + 8.75%, 3.00% Floor)(20)(23)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4/17/2029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12,276,600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12,183,291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12,190,662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7.73</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43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- 350 Common Shares(21)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89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885,430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0.56</w:t>
            </w:r>
          </w:p>
        </w:tc>
        <w:tc>
          <w:tcPr>
            <w:tcW w:w="24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43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14,202,923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14,794,823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14,988,584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9.50</w:t>
            </w:r>
          </w:p>
        </w:tc>
        <w:tc>
          <w:tcPr>
            <w:tcW w:w="2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41"/>
        <w:gridCol w:w="90"/>
        <w:gridCol w:w="933"/>
        <w:gridCol w:w="90"/>
        <w:gridCol w:w="1827"/>
        <w:gridCol w:w="90"/>
        <w:gridCol w:w="757"/>
        <w:gridCol w:w="90"/>
        <w:gridCol w:w="90"/>
        <w:gridCol w:w="92"/>
        <w:gridCol w:w="972"/>
        <w:gridCol w:w="90"/>
        <w:gridCol w:w="90"/>
        <w:gridCol w:w="146"/>
        <w:gridCol w:w="994"/>
        <w:gridCol w:w="90"/>
        <w:gridCol w:w="90"/>
        <w:gridCol w:w="140"/>
        <w:gridCol w:w="950"/>
        <w:gridCol w:w="90"/>
        <w:gridCol w:w="90"/>
        <w:gridCol w:w="129"/>
        <w:gridCol w:w="656"/>
        <w:gridCol w:w="278"/>
      </w:tblGrid>
      <w:tr>
        <w:trPr/>
        <w:tc>
          <w:tcPr>
            <w:tcW w:w="1341" w:type="dxa"/>
            <w:tcBorders>
              <w:bottom w:val="single" w:sz="12" w:space="0" w:color="000000"/>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Company</w:t>
            </w:r>
            <w:r>
              <w:rPr>
                <w:rFonts w:ascii="Times New Roman;Times;Serif" w:hAnsi="Times New Roman;Times;Serif"/>
                <w:b/>
                <w:position w:val="6"/>
                <w:sz w:val="14"/>
                <w:sz w:val="18"/>
              </w:rPr>
              <w:t>(1)</w:t>
            </w:r>
          </w:p>
        </w:tc>
        <w:tc>
          <w:tcPr>
            <w:tcW w:w="90" w:type="dxa"/>
            <w:tcBorders/>
            <w:tcMar>
              <w:bottom w:w="0" w:type="dxa"/>
            </w:tcMar>
            <w:vAlign w:val="center"/>
          </w:tcPr>
          <w:p>
            <w:pPr>
              <w:pStyle w:val="TableContents"/>
              <w:bidi w:val="0"/>
              <w:spacing w:before="0" w:after="283"/>
              <w:jc w:val="left"/>
              <w:rPr/>
            </w:pPr>
            <w:r>
              <w:rPr/>
              <w:t> </w:t>
            </w:r>
          </w:p>
        </w:tc>
        <w:tc>
          <w:tcPr>
            <w:tcW w:w="93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Industry</w:t>
            </w:r>
          </w:p>
        </w:tc>
        <w:tc>
          <w:tcPr>
            <w:tcW w:w="90" w:type="dxa"/>
            <w:tcBorders/>
            <w:tcMar>
              <w:bottom w:w="0" w:type="dxa"/>
            </w:tcMar>
            <w:vAlign w:val="center"/>
          </w:tcPr>
          <w:p>
            <w:pPr>
              <w:pStyle w:val="TableContents"/>
              <w:bidi w:val="0"/>
              <w:spacing w:before="0" w:after="283"/>
              <w:jc w:val="left"/>
              <w:rPr/>
            </w:pPr>
            <w:r>
              <w:rPr/>
              <w:t> </w:t>
            </w:r>
          </w:p>
        </w:tc>
        <w:tc>
          <w:tcPr>
            <w:tcW w:w="182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Type of Investment</w:t>
            </w:r>
          </w:p>
        </w:tc>
        <w:tc>
          <w:tcPr>
            <w:tcW w:w="90" w:type="dxa"/>
            <w:tcBorders/>
            <w:tcMar>
              <w:bottom w:w="0" w:type="dxa"/>
            </w:tcMar>
            <w:vAlign w:val="center"/>
          </w:tcPr>
          <w:p>
            <w:pPr>
              <w:pStyle w:val="TableContents"/>
              <w:bidi w:val="0"/>
              <w:spacing w:before="0" w:after="283"/>
              <w:jc w:val="left"/>
              <w:rPr/>
            </w:pPr>
            <w:r>
              <w:rPr/>
              <w:t> </w:t>
            </w:r>
          </w:p>
        </w:tc>
        <w:tc>
          <w:tcPr>
            <w:tcW w:w="75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Maturity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6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Par Amount/</w:t>
              <w:br/>
              <w:t>Shares/Units</w:t>
            </w:r>
            <w:r>
              <w:rPr>
                <w:rFonts w:ascii="Times New Roman;Times;Serif" w:hAnsi="Times New Roman;Times;Serif"/>
                <w:b/>
                <w:position w:val="6"/>
                <w:sz w:val="14"/>
                <w:sz w:val="18"/>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Amortized Cost</w:t>
            </w:r>
            <w:r>
              <w:rPr>
                <w:rFonts w:ascii="Times New Roman;Times;Serif" w:hAnsi="Times New Roman;Times;Serif"/>
                <w:b/>
                <w:position w:val="6"/>
                <w:sz w:val="14"/>
                <w:sz w:val="18"/>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Fair</w:t>
              <w:br/>
              <w:t>Value</w:t>
            </w:r>
            <w:r>
              <w:rPr>
                <w:rFonts w:ascii="Times New Roman;Times;Serif" w:hAnsi="Times New Roman;Times;Serif"/>
                <w:b/>
                <w:position w:val="6"/>
                <w:sz w:val="14"/>
                <w:sz w:val="18"/>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of Net </w:t>
              <w:br/>
              <w:t>Assets</w:t>
            </w:r>
            <w:r>
              <w:rPr>
                <w:rFonts w:ascii="Times New Roman;Times;Serif" w:hAnsi="Times New Roman;Times;Serif"/>
                <w:b/>
                <w:position w:val="6"/>
                <w:sz w:val="14"/>
                <w:sz w:val="18"/>
              </w:rPr>
              <w:t>(5)</w:t>
            </w:r>
          </w:p>
        </w:tc>
        <w:tc>
          <w:tcPr>
            <w:tcW w:w="278" w:type="dxa"/>
            <w:tcBorders/>
            <w:tcMar>
              <w:bottom w:w="0" w:type="dxa"/>
            </w:tcMar>
            <w:vAlign w:val="center"/>
          </w:tcPr>
          <w:p>
            <w:pPr>
              <w:pStyle w:val="TableContents"/>
              <w:bidi w:val="0"/>
              <w:spacing w:before="0" w:after="283"/>
              <w:ind w:left="0" w:right="0" w:hanging="180"/>
              <w:jc w:val="left"/>
              <w:rPr/>
            </w:pPr>
            <w:r>
              <w:rPr/>
              <w:t> </w:t>
            </w:r>
          </w:p>
        </w:tc>
      </w:tr>
      <w:tr>
        <w:trPr/>
        <w:tc>
          <w:tcPr>
            <w:tcW w:w="13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XYZ Roofco, LLC (dba SMC Roofing Solutions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Services: Consumer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First Out Term Loan (SOFR + 3.50%, 2.00% Floor)(24)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10/16/2028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599,473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605,093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578,492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0.37</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First Out Delayed Draw Term Loan (SOFR + 3.50%, 2.00% Floor)(24)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10/16/2028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30,950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31,933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29,867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0.02</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Last Out Term Loan (SOFR + 6.25% + 2.75% First Out Skim, 2.00% Floor)(24)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10/16/2028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1,863,568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1,865,640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1,798,343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1.14</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Last Out Delayed Draw Term Loan (SOFR + 6.25% + 2.75% First Out Skim, 2.00% Floor)(24)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10/16/2028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140,082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99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140,082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135,179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CCEEFF" w:val="clear"/>
            <w:vAlign w:val="center"/>
          </w:tcPr>
          <w:p>
            <w:pPr>
              <w:pStyle w:val="TableContents"/>
              <w:bidi w:val="0"/>
              <w:spacing w:before="0" w:after="283"/>
              <w:jc w:val="left"/>
              <w:rPr/>
            </w:pPr>
            <w:r>
              <w:rPr/>
              <w:t> </w:t>
            </w:r>
          </w:p>
        </w:tc>
        <w:tc>
          <w:tcPr>
            <w:tcW w:w="65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0.09</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2,634,073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99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2,642,748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2,541,881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CCEEFF" w:val="clear"/>
            <w:vAlign w:val="center"/>
          </w:tcPr>
          <w:p>
            <w:pPr>
              <w:pStyle w:val="TableContents"/>
              <w:bidi w:val="0"/>
              <w:spacing w:before="0" w:after="283"/>
              <w:jc w:val="left"/>
              <w:rPr/>
            </w:pPr>
            <w:r>
              <w:rPr/>
              <w:t> </w:t>
            </w:r>
          </w:p>
        </w:tc>
        <w:tc>
          <w:tcPr>
            <w:tcW w:w="65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1.62</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2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7"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99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9" w:type="dxa"/>
            <w:tcBorders/>
            <w:tcMar>
              <w:bottom w:w="0" w:type="dxa"/>
            </w:tcMar>
            <w:vAlign w:val="center"/>
          </w:tcPr>
          <w:p>
            <w:pPr>
              <w:pStyle w:val="TableContents"/>
              <w:bidi w:val="0"/>
              <w:spacing w:before="0" w:after="283"/>
              <w:jc w:val="left"/>
              <w:rPr/>
            </w:pPr>
            <w:r>
              <w:rPr/>
              <w:t> </w:t>
            </w:r>
          </w:p>
        </w:tc>
        <w:tc>
          <w:tcPr>
            <w:tcW w:w="656" w:type="dxa"/>
            <w:tcBorders/>
            <w:tcMar>
              <w:bottom w:w="0" w:type="dxa"/>
            </w:tcMar>
            <w:vAlign w:val="center"/>
          </w:tcPr>
          <w:p>
            <w:pPr>
              <w:pStyle w:val="TableContents"/>
              <w:bidi w:val="0"/>
              <w:spacing w:before="0" w:after="283"/>
              <w:jc w:val="right"/>
              <w:rPr/>
            </w:pPr>
            <w:r>
              <w:rPr/>
              <w:t> </w:t>
            </w:r>
          </w:p>
        </w:tc>
        <w:tc>
          <w:tcPr>
            <w:tcW w:w="278" w:type="dxa"/>
            <w:tcBorders/>
            <w:tcMar>
              <w:bottom w:w="0" w:type="dxa"/>
            </w:tcMar>
            <w:vAlign w:val="center"/>
          </w:tcPr>
          <w:p>
            <w:pPr>
              <w:pStyle w:val="TableContents"/>
              <w:bidi w:val="0"/>
              <w:spacing w:before="0" w:after="283"/>
              <w:ind w:left="0" w:right="0" w:hanging="180"/>
              <w:jc w:val="left"/>
              <w:rPr/>
            </w:pPr>
            <w:r>
              <w:rPr/>
              <w:t> </w:t>
            </w:r>
          </w:p>
        </w:tc>
      </w:tr>
      <w:tr>
        <w:trPr/>
        <w:tc>
          <w:tcPr>
            <w:tcW w:w="5128" w:type="dxa"/>
            <w:gridSpan w:val="7"/>
            <w:tcBorders/>
            <w:shd w:fill="CCEEFF" w:val="clear"/>
            <w:tcMar>
              <w:bottom w:w="0"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Subtotal Non-Controlled/Non-Affiliated Investments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108,122,406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9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133,498,823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136,419,212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CCEEFF" w:val="clear"/>
            <w:vAlign w:val="center"/>
          </w:tcPr>
          <w:p>
            <w:pPr>
              <w:pStyle w:val="TableContents"/>
              <w:bidi w:val="0"/>
              <w:spacing w:before="0" w:after="283"/>
              <w:jc w:val="left"/>
              <w:rPr/>
            </w:pPr>
            <w:r>
              <w:rPr/>
              <w:t> </w:t>
            </w:r>
          </w:p>
        </w:tc>
        <w:tc>
          <w:tcPr>
            <w:tcW w:w="65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86.42</w:t>
            </w:r>
          </w:p>
        </w:tc>
        <w:tc>
          <w:tcPr>
            <w:tcW w:w="278"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r>
      <w:tr>
        <w:trPr/>
        <w:tc>
          <w:tcPr>
            <w:tcW w:w="2364" w:type="dxa"/>
            <w:gridSpan w:val="3"/>
            <w:tcBorders/>
            <w:tcMar>
              <w:bottom w:w="0" w:type="dxa"/>
            </w:tcMar>
            <w:vAlign w:val="center"/>
          </w:tcPr>
          <w:p>
            <w:pPr>
              <w:pStyle w:val="TableContents"/>
              <w:bidi w:val="0"/>
              <w:spacing w:before="0" w:after="283"/>
              <w:jc w:val="left"/>
              <w:rPr>
                <w:rFonts w:ascii="Times New Roman;Times;Serif" w:hAnsi="Times New Roman;Times;Serif"/>
                <w:b/>
                <w:sz w:val="18"/>
                <w:u w:val="single"/>
              </w:rPr>
            </w:pPr>
            <w:r>
              <w:rPr>
                <w:rFonts w:ascii="Times New Roman;Times;Serif" w:hAnsi="Times New Roman;Times;Serif"/>
                <w:b/>
                <w:sz w:val="18"/>
                <w:u w:val="single"/>
              </w:rPr>
              <w:t>Affiliated Investments:</w:t>
            </w:r>
            <w:r>
              <w:rPr>
                <w:rFonts w:ascii="Times New Roman;Times;Serif" w:hAnsi="Times New Roman;Times;Serif"/>
                <w:b/>
                <w:position w:val="6"/>
                <w:sz w:val="14"/>
                <w:sz w:val="18"/>
                <w:u w:val="single"/>
              </w:rPr>
              <w:t>(6)</w:t>
            </w:r>
          </w:p>
        </w:tc>
        <w:tc>
          <w:tcPr>
            <w:tcW w:w="90" w:type="dxa"/>
            <w:tcBorders/>
            <w:tcMar>
              <w:bottom w:w="0" w:type="dxa"/>
            </w:tcMar>
            <w:vAlign w:val="center"/>
          </w:tcPr>
          <w:p>
            <w:pPr>
              <w:pStyle w:val="TableContents"/>
              <w:bidi w:val="0"/>
              <w:spacing w:before="0" w:after="283"/>
              <w:jc w:val="left"/>
              <w:rPr/>
            </w:pPr>
            <w:r>
              <w:rPr/>
              <w:t> </w:t>
            </w:r>
          </w:p>
        </w:tc>
        <w:tc>
          <w:tcPr>
            <w:tcW w:w="182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7"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99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9" w:type="dxa"/>
            <w:tcBorders/>
            <w:tcMar>
              <w:bottom w:w="0" w:type="dxa"/>
            </w:tcMar>
            <w:vAlign w:val="center"/>
          </w:tcPr>
          <w:p>
            <w:pPr>
              <w:pStyle w:val="TableContents"/>
              <w:bidi w:val="0"/>
              <w:spacing w:before="0" w:after="283"/>
              <w:jc w:val="left"/>
              <w:rPr/>
            </w:pPr>
            <w:r>
              <w:rPr/>
              <w:t> </w:t>
            </w:r>
          </w:p>
        </w:tc>
        <w:tc>
          <w:tcPr>
            <w:tcW w:w="656" w:type="dxa"/>
            <w:tcBorders/>
            <w:tcMar>
              <w:bottom w:w="0" w:type="dxa"/>
            </w:tcMar>
            <w:vAlign w:val="center"/>
          </w:tcPr>
          <w:p>
            <w:pPr>
              <w:pStyle w:val="TableContents"/>
              <w:bidi w:val="0"/>
              <w:spacing w:before="0" w:after="283"/>
              <w:jc w:val="right"/>
              <w:rPr/>
            </w:pPr>
            <w:r>
              <w:rPr/>
              <w:t> </w:t>
            </w:r>
          </w:p>
        </w:tc>
        <w:tc>
          <w:tcPr>
            <w:tcW w:w="278" w:type="dxa"/>
            <w:tcBorders/>
            <w:tcMar>
              <w:bottom w:w="0" w:type="dxa"/>
            </w:tcMar>
            <w:vAlign w:val="center"/>
          </w:tcPr>
          <w:p>
            <w:pPr>
              <w:pStyle w:val="TableContents"/>
              <w:bidi w:val="0"/>
              <w:spacing w:before="0" w:after="283"/>
              <w:ind w:left="0" w:right="0" w:hanging="180"/>
              <w:jc w:val="left"/>
              <w:rPr/>
            </w:pPr>
            <w:r>
              <w:rPr/>
              <w:t> </w:t>
            </w:r>
          </w:p>
        </w:tc>
      </w:tr>
      <w:tr>
        <w:trPr/>
        <w:tc>
          <w:tcPr>
            <w:tcW w:w="13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Advocates for Disabled Vets, LLC (dba Reps for Vets)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Services: Consumer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Lien Term Loan (10.00% + 4.00% PIK)</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3/7/2030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8,950,485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8,811,064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8,245,634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5.22</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Delayed Draw Term Loan (14.00%)(8)(23)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8/29/2029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225,132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221,625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0.14</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Fairlong RFV Holdings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- 3,375,000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3,375,000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3,375,000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2,398,889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1.52</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Preferred Equity - 110,440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110,440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99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99,396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99,396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CCEEFF" w:val="clear"/>
            <w:vAlign w:val="center"/>
          </w:tcPr>
          <w:p>
            <w:pPr>
              <w:pStyle w:val="TableContents"/>
              <w:bidi w:val="0"/>
              <w:spacing w:before="0" w:after="283"/>
              <w:jc w:val="left"/>
              <w:rPr/>
            </w:pPr>
            <w:r>
              <w:rPr/>
              <w:t> </w:t>
            </w:r>
          </w:p>
        </w:tc>
        <w:tc>
          <w:tcPr>
            <w:tcW w:w="65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0.06</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12,660,925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12,510,592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10,965,544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6.94</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2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7"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99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9" w:type="dxa"/>
            <w:tcBorders/>
            <w:tcMar>
              <w:bottom w:w="0" w:type="dxa"/>
            </w:tcMar>
            <w:vAlign w:val="center"/>
          </w:tcPr>
          <w:p>
            <w:pPr>
              <w:pStyle w:val="TableContents"/>
              <w:bidi w:val="0"/>
              <w:spacing w:before="0" w:after="283"/>
              <w:jc w:val="left"/>
              <w:rPr/>
            </w:pPr>
            <w:r>
              <w:rPr/>
              <w:t> </w:t>
            </w:r>
          </w:p>
        </w:tc>
        <w:tc>
          <w:tcPr>
            <w:tcW w:w="656" w:type="dxa"/>
            <w:tcBorders/>
            <w:tcMar>
              <w:bottom w:w="0" w:type="dxa"/>
            </w:tcMar>
            <w:vAlign w:val="center"/>
          </w:tcPr>
          <w:p>
            <w:pPr>
              <w:pStyle w:val="TableContents"/>
              <w:bidi w:val="0"/>
              <w:spacing w:before="0" w:after="283"/>
              <w:jc w:val="right"/>
              <w:rPr/>
            </w:pPr>
            <w:r>
              <w:rPr/>
              <w:t> </w:t>
            </w:r>
          </w:p>
        </w:tc>
        <w:tc>
          <w:tcPr>
            <w:tcW w:w="278" w:type="dxa"/>
            <w:tcBorders/>
            <w:tcMar>
              <w:bottom w:w="0" w:type="dxa"/>
            </w:tcMar>
            <w:vAlign w:val="center"/>
          </w:tcPr>
          <w:p>
            <w:pPr>
              <w:pStyle w:val="TableContents"/>
              <w:bidi w:val="0"/>
              <w:spacing w:before="0" w:after="283"/>
              <w:ind w:left="0" w:right="0" w:hanging="180"/>
              <w:jc w:val="left"/>
              <w:rPr/>
            </w:pPr>
            <w:r>
              <w:rPr/>
              <w:t> </w:t>
            </w:r>
          </w:p>
        </w:tc>
      </w:tr>
      <w:tr>
        <w:trPr/>
        <w:tc>
          <w:tcPr>
            <w:tcW w:w="13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FST Holdings Parent,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High Tech Industries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- 625,548 Class A Units(17)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625,548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99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10,008,289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12,956,608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CCEEFF" w:val="clear"/>
            <w:vAlign w:val="center"/>
          </w:tcPr>
          <w:p>
            <w:pPr>
              <w:pStyle w:val="TableContents"/>
              <w:bidi w:val="0"/>
              <w:spacing w:before="0" w:after="283"/>
              <w:jc w:val="left"/>
              <w:rPr/>
            </w:pPr>
            <w:r>
              <w:rPr/>
              <w:t> </w:t>
            </w:r>
          </w:p>
        </w:tc>
        <w:tc>
          <w:tcPr>
            <w:tcW w:w="65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8.22</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625,548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10,008,289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12,956,608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8.22</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2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7"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99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9" w:type="dxa"/>
            <w:tcBorders/>
            <w:tcMar>
              <w:bottom w:w="0" w:type="dxa"/>
            </w:tcMar>
            <w:vAlign w:val="center"/>
          </w:tcPr>
          <w:p>
            <w:pPr>
              <w:pStyle w:val="TableContents"/>
              <w:bidi w:val="0"/>
              <w:spacing w:before="0" w:after="283"/>
              <w:jc w:val="left"/>
              <w:rPr/>
            </w:pPr>
            <w:r>
              <w:rPr/>
              <w:t> </w:t>
            </w:r>
          </w:p>
        </w:tc>
        <w:tc>
          <w:tcPr>
            <w:tcW w:w="656" w:type="dxa"/>
            <w:tcBorders/>
            <w:tcMar>
              <w:bottom w:w="0" w:type="dxa"/>
            </w:tcMar>
            <w:vAlign w:val="center"/>
          </w:tcPr>
          <w:p>
            <w:pPr>
              <w:pStyle w:val="TableContents"/>
              <w:bidi w:val="0"/>
              <w:spacing w:before="0" w:after="283"/>
              <w:jc w:val="right"/>
              <w:rPr/>
            </w:pPr>
            <w:r>
              <w:rPr/>
              <w:t> </w:t>
            </w:r>
          </w:p>
        </w:tc>
        <w:tc>
          <w:tcPr>
            <w:tcW w:w="278" w:type="dxa"/>
            <w:tcBorders/>
            <w:tcMar>
              <w:bottom w:w="0" w:type="dxa"/>
            </w:tcMar>
            <w:vAlign w:val="center"/>
          </w:tcPr>
          <w:p>
            <w:pPr>
              <w:pStyle w:val="TableContents"/>
              <w:bidi w:val="0"/>
              <w:spacing w:before="0" w:after="283"/>
              <w:ind w:left="0" w:right="0" w:hanging="180"/>
              <w:jc w:val="left"/>
              <w:rPr/>
            </w:pPr>
            <w:r>
              <w:rPr/>
              <w:t> </w:t>
            </w:r>
          </w:p>
        </w:tc>
      </w:tr>
      <w:tr>
        <w:trPr/>
        <w:tc>
          <w:tcPr>
            <w:tcW w:w="13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MB Precision Investment Holdings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Aerospace &amp; Defense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Lien Term Loan(SOFR + CSA + 8.00%, 4.00% Floor)(19)(20)(24)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6,757,183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6,673,243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6,123,697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3.88</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Delayed Draw Term Loan(SOFR + CSA + 10.00%, 4.00% Floor)(8)(19)(20)(24)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2,847,566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2,779,299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2,641,118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1.67</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shd w:fill="CCEEFF" w:val="clear"/>
            <w:tcMar>
              <w:bottom w:w="0" w:type="dxa"/>
            </w:tcMar>
            <w:vAlign w:val="center"/>
          </w:tcPr>
          <w:p>
            <w:pPr>
              <w:pStyle w:val="TableContents"/>
              <w:bidi w:val="0"/>
              <w:spacing w:before="0" w:after="0"/>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Lien Revolver(SOFR + CSA + 8.00%, 4.00% Floor)(8)(12)(19)(20)(24)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2,193,797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2,179,823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1,988,129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1.26</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Class E Preferred Units(19)(21)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4,751,435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3,823,700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2,007,481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1.27</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Warrants - 2.28% of Outstanding Equity(21)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3,380,282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99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827,409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CCEEFF" w:val="clear"/>
            <w:vAlign w:val="center"/>
          </w:tcPr>
          <w:p>
            <w:pPr>
              <w:pStyle w:val="TableContents"/>
              <w:bidi w:val="0"/>
              <w:spacing w:before="0" w:after="283"/>
              <w:jc w:val="left"/>
              <w:rPr/>
            </w:pPr>
            <w:r>
              <w:rPr/>
              <w:t> </w:t>
            </w:r>
          </w:p>
        </w:tc>
        <w:tc>
          <w:tcPr>
            <w:tcW w:w="65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0.00</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19,930,263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99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16,283,474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12,760,425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CCEEFF" w:val="clear"/>
            <w:vAlign w:val="center"/>
          </w:tcPr>
          <w:p>
            <w:pPr>
              <w:pStyle w:val="TableContents"/>
              <w:bidi w:val="0"/>
              <w:spacing w:before="0" w:after="283"/>
              <w:jc w:val="left"/>
              <w:rPr/>
            </w:pPr>
            <w:r>
              <w:rPr/>
              <w:t> </w:t>
            </w:r>
          </w:p>
        </w:tc>
        <w:tc>
          <w:tcPr>
            <w:tcW w:w="65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8.08</w:t>
            </w:r>
          </w:p>
        </w:tc>
        <w:tc>
          <w:tcPr>
            <w:tcW w:w="278"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34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2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7"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99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9" w:type="dxa"/>
            <w:tcBorders/>
            <w:tcMar>
              <w:bottom w:w="0" w:type="dxa"/>
            </w:tcMar>
            <w:vAlign w:val="center"/>
          </w:tcPr>
          <w:p>
            <w:pPr>
              <w:pStyle w:val="TableContents"/>
              <w:bidi w:val="0"/>
              <w:spacing w:before="0" w:after="283"/>
              <w:jc w:val="left"/>
              <w:rPr/>
            </w:pPr>
            <w:r>
              <w:rPr/>
              <w:t> </w:t>
            </w:r>
          </w:p>
        </w:tc>
        <w:tc>
          <w:tcPr>
            <w:tcW w:w="656" w:type="dxa"/>
            <w:tcBorders/>
            <w:tcMar>
              <w:bottom w:w="0" w:type="dxa"/>
            </w:tcMar>
            <w:vAlign w:val="center"/>
          </w:tcPr>
          <w:p>
            <w:pPr>
              <w:pStyle w:val="TableContents"/>
              <w:bidi w:val="0"/>
              <w:spacing w:before="0" w:after="283"/>
              <w:jc w:val="right"/>
              <w:rPr/>
            </w:pPr>
            <w:r>
              <w:rPr/>
              <w:t> </w:t>
            </w:r>
          </w:p>
        </w:tc>
        <w:tc>
          <w:tcPr>
            <w:tcW w:w="278" w:type="dxa"/>
            <w:tcBorders/>
            <w:tcMar>
              <w:bottom w:w="0" w:type="dxa"/>
            </w:tcMar>
            <w:vAlign w:val="center"/>
          </w:tcPr>
          <w:p>
            <w:pPr>
              <w:pStyle w:val="TableContents"/>
              <w:bidi w:val="0"/>
              <w:spacing w:before="0" w:after="283"/>
              <w:ind w:left="0" w:right="0" w:hanging="180"/>
              <w:jc w:val="left"/>
              <w:rPr/>
            </w:pPr>
            <w:r>
              <w:rPr/>
              <w:t> </w:t>
            </w:r>
          </w:p>
        </w:tc>
      </w:tr>
      <w:tr>
        <w:trPr/>
        <w:tc>
          <w:tcPr>
            <w:tcW w:w="4281" w:type="dxa"/>
            <w:gridSpan w:val="5"/>
            <w:tcBorders/>
            <w:shd w:fill="CCEEFF" w:val="clear"/>
            <w:tcMar>
              <w:bottom w:w="0"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Subtotal Affiliated Investments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33,216,736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9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38,802,355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36,682,577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CCEEFF" w:val="clear"/>
            <w:vAlign w:val="center"/>
          </w:tcPr>
          <w:p>
            <w:pPr>
              <w:pStyle w:val="TableContents"/>
              <w:bidi w:val="0"/>
              <w:spacing w:before="0" w:after="283"/>
              <w:jc w:val="left"/>
              <w:rPr/>
            </w:pPr>
            <w:r>
              <w:rPr/>
              <w:t> </w:t>
            </w:r>
          </w:p>
        </w:tc>
        <w:tc>
          <w:tcPr>
            <w:tcW w:w="65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23.24</w:t>
            </w:r>
          </w:p>
        </w:tc>
        <w:tc>
          <w:tcPr>
            <w:tcW w:w="278"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0"/>
        <w:gridCol w:w="90"/>
        <w:gridCol w:w="996"/>
        <w:gridCol w:w="90"/>
        <w:gridCol w:w="2114"/>
        <w:gridCol w:w="90"/>
        <w:gridCol w:w="766"/>
        <w:gridCol w:w="90"/>
        <w:gridCol w:w="90"/>
        <w:gridCol w:w="93"/>
        <w:gridCol w:w="983"/>
        <w:gridCol w:w="90"/>
        <w:gridCol w:w="90"/>
        <w:gridCol w:w="149"/>
        <w:gridCol w:w="1015"/>
        <w:gridCol w:w="90"/>
        <w:gridCol w:w="90"/>
        <w:gridCol w:w="140"/>
        <w:gridCol w:w="950"/>
        <w:gridCol w:w="90"/>
        <w:gridCol w:w="90"/>
        <w:gridCol w:w="104"/>
        <w:gridCol w:w="636"/>
        <w:gridCol w:w="279"/>
      </w:tblGrid>
      <w:tr>
        <w:trPr/>
        <w:tc>
          <w:tcPr>
            <w:tcW w:w="9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Company</w:t>
            </w:r>
            <w:r>
              <w:rPr>
                <w:rFonts w:ascii="Times New Roman;Times;Serif" w:hAnsi="Times New Roman;Times;Serif"/>
                <w:b/>
                <w:position w:val="6"/>
                <w:sz w:val="14"/>
                <w:sz w:val="18"/>
              </w:rPr>
              <w:t>(1)</w:t>
            </w:r>
          </w:p>
        </w:tc>
        <w:tc>
          <w:tcPr>
            <w:tcW w:w="90" w:type="dxa"/>
            <w:tcBorders/>
            <w:tcMar>
              <w:bottom w:w="0" w:type="dxa"/>
            </w:tcMar>
            <w:vAlign w:val="center"/>
          </w:tcPr>
          <w:p>
            <w:pPr>
              <w:pStyle w:val="TableContents"/>
              <w:bidi w:val="0"/>
              <w:spacing w:before="0" w:after="283"/>
              <w:jc w:val="left"/>
              <w:rPr/>
            </w:pPr>
            <w:r>
              <w:rPr/>
              <w:t> </w:t>
            </w:r>
          </w:p>
        </w:tc>
        <w:tc>
          <w:tcPr>
            <w:tcW w:w="99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Industry</w:t>
            </w:r>
          </w:p>
        </w:tc>
        <w:tc>
          <w:tcPr>
            <w:tcW w:w="90" w:type="dxa"/>
            <w:tcBorders/>
            <w:tcMar>
              <w:bottom w:w="0" w:type="dxa"/>
            </w:tcMar>
            <w:vAlign w:val="center"/>
          </w:tcPr>
          <w:p>
            <w:pPr>
              <w:pStyle w:val="TableContents"/>
              <w:bidi w:val="0"/>
              <w:spacing w:before="0" w:after="283"/>
              <w:jc w:val="left"/>
              <w:rPr/>
            </w:pPr>
            <w:r>
              <w:rPr/>
              <w:t> </w:t>
            </w:r>
          </w:p>
        </w:tc>
        <w:tc>
          <w:tcPr>
            <w:tcW w:w="211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Type of Investment</w:t>
            </w:r>
          </w:p>
        </w:tc>
        <w:tc>
          <w:tcPr>
            <w:tcW w:w="90" w:type="dxa"/>
            <w:tcBorders/>
            <w:tcMar>
              <w:bottom w:w="0" w:type="dxa"/>
            </w:tcMar>
            <w:vAlign w:val="center"/>
          </w:tcPr>
          <w:p>
            <w:pPr>
              <w:pStyle w:val="TableContents"/>
              <w:bidi w:val="0"/>
              <w:spacing w:before="0" w:after="283"/>
              <w:jc w:val="left"/>
              <w:rPr/>
            </w:pPr>
            <w:r>
              <w:rPr/>
              <w:t> </w:t>
            </w:r>
          </w:p>
        </w:tc>
        <w:tc>
          <w:tcPr>
            <w:tcW w:w="76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Maturity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76"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Par Amount/</w:t>
              <w:br/>
              <w:t>Shares/Units</w:t>
            </w:r>
            <w:r>
              <w:rPr>
                <w:rFonts w:ascii="Times New Roman;Times;Serif" w:hAnsi="Times New Roman;Times;Serif"/>
                <w:b/>
                <w:position w:val="6"/>
                <w:sz w:val="14"/>
                <w:sz w:val="18"/>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6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Amortized Cost</w:t>
            </w:r>
            <w:r>
              <w:rPr>
                <w:rFonts w:ascii="Times New Roman;Times;Serif" w:hAnsi="Times New Roman;Times;Serif"/>
                <w:b/>
                <w:position w:val="6"/>
                <w:sz w:val="14"/>
                <w:sz w:val="18"/>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Fair</w:t>
              <w:br/>
              <w:t>Value</w:t>
            </w:r>
            <w:r>
              <w:rPr>
                <w:rFonts w:ascii="Times New Roman;Times;Serif" w:hAnsi="Times New Roman;Times;Serif"/>
                <w:b/>
                <w:position w:val="6"/>
                <w:sz w:val="14"/>
                <w:sz w:val="18"/>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of Net</w:t>
              <w:br/>
              <w:t>Assets</w:t>
            </w:r>
            <w:r>
              <w:rPr>
                <w:rFonts w:ascii="Times New Roman;Times;Serif" w:hAnsi="Times New Roman;Times;Serif"/>
                <w:b/>
                <w:position w:val="6"/>
                <w:sz w:val="14"/>
                <w:sz w:val="18"/>
              </w:rPr>
              <w:t>(5)</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2076" w:type="dxa"/>
            <w:gridSpan w:val="3"/>
            <w:tcBorders/>
            <w:tcMar>
              <w:bottom w:w="0" w:type="dxa"/>
            </w:tcMar>
            <w:vAlign w:val="center"/>
          </w:tcPr>
          <w:p>
            <w:pPr>
              <w:pStyle w:val="TableContents"/>
              <w:bidi w:val="0"/>
              <w:spacing w:before="0" w:after="283"/>
              <w:jc w:val="left"/>
              <w:rPr>
                <w:rFonts w:ascii="Times New Roman;Times;Serif" w:hAnsi="Times New Roman;Times;Serif"/>
                <w:b/>
                <w:sz w:val="18"/>
                <w:u w:val="single"/>
              </w:rPr>
            </w:pPr>
            <w:r>
              <w:rPr>
                <w:rFonts w:ascii="Times New Roman;Times;Serif" w:hAnsi="Times New Roman;Times;Serif"/>
                <w:b/>
                <w:sz w:val="18"/>
                <w:u w:val="single"/>
              </w:rPr>
              <w:t>Controlled Investments:</w:t>
            </w:r>
            <w:r>
              <w:rPr>
                <w:rFonts w:ascii="Times New Roman;Times;Serif" w:hAnsi="Times New Roman;Times;Serif"/>
                <w:b/>
                <w:position w:val="6"/>
                <w:sz w:val="14"/>
                <w:sz w:val="18"/>
                <w:u w:val="single"/>
              </w:rPr>
              <w:t>(7)</w:t>
            </w:r>
          </w:p>
        </w:tc>
        <w:tc>
          <w:tcPr>
            <w:tcW w:w="90" w:type="dxa"/>
            <w:tcBorders/>
            <w:tcMar>
              <w:bottom w:w="0" w:type="dxa"/>
            </w:tcMar>
            <w:vAlign w:val="center"/>
          </w:tcPr>
          <w:p>
            <w:pPr>
              <w:pStyle w:val="TableContents"/>
              <w:bidi w:val="0"/>
              <w:spacing w:before="0" w:after="283"/>
              <w:jc w:val="left"/>
              <w:rPr/>
            </w:pPr>
            <w:r>
              <w:rPr/>
              <w:t> </w:t>
            </w:r>
          </w:p>
        </w:tc>
        <w:tc>
          <w:tcPr>
            <w:tcW w:w="211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98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101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636"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9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ECC Capital Corp.</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- 84,000,000 Units(13)(21)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84,000,000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0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4,257,002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7,560,000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4.79</w:t>
            </w:r>
          </w:p>
        </w:tc>
        <w:tc>
          <w:tcPr>
            <w:tcW w:w="2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Promissory Note (SOFR + 5.00%, 0.00% Floor)(24)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12/31/2031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98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bottom w:val="single" w:sz="12" w:space="0" w:color="000000"/>
            </w:tcBorders>
            <w:shd w:fill="CCEEFF" w:val="clear"/>
            <w:vAlign w:val="center"/>
          </w:tcPr>
          <w:p>
            <w:pPr>
              <w:pStyle w:val="TableContents"/>
              <w:bidi w:val="0"/>
              <w:spacing w:before="0" w:after="283"/>
              <w:jc w:val="left"/>
              <w:rPr/>
            </w:pPr>
            <w:r>
              <w:rPr/>
              <w:t> </w:t>
            </w:r>
          </w:p>
        </w:tc>
        <w:tc>
          <w:tcPr>
            <w:tcW w:w="101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bottom w:val="single" w:sz="12" w:space="0" w:color="000000"/>
            </w:tcBorders>
            <w:shd w:fill="CCEEFF" w:val="clear"/>
            <w:vAlign w:val="center"/>
          </w:tcPr>
          <w:p>
            <w:pPr>
              <w:pStyle w:val="TableContents"/>
              <w:bidi w:val="0"/>
              <w:spacing w:before="0" w:after="283"/>
              <w:jc w:val="left"/>
              <w:rPr/>
            </w:pPr>
            <w:r>
              <w:rPr/>
              <w:t> </w:t>
            </w:r>
          </w:p>
        </w:tc>
        <w:tc>
          <w:tcPr>
            <w:tcW w:w="63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4.43</w:t>
            </w:r>
          </w:p>
        </w:tc>
        <w:tc>
          <w:tcPr>
            <w:tcW w:w="2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1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90,997,012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0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11,254,014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14,557,012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9.22</w:t>
            </w:r>
          </w:p>
        </w:tc>
        <w:tc>
          <w:tcPr>
            <w:tcW w:w="2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1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98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101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636"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9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FlexFIN,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Services: Business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98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35,308,760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bottom w:val="single" w:sz="12" w:space="0" w:color="000000"/>
            </w:tcBorders>
            <w:shd w:fill="CCEEFF" w:val="clear"/>
            <w:vAlign w:val="center"/>
          </w:tcPr>
          <w:p>
            <w:pPr>
              <w:pStyle w:val="TableContents"/>
              <w:bidi w:val="0"/>
              <w:spacing w:before="0" w:after="283"/>
              <w:jc w:val="left"/>
              <w:rPr/>
            </w:pPr>
            <w:r>
              <w:rPr/>
              <w:t> </w:t>
            </w:r>
          </w:p>
        </w:tc>
        <w:tc>
          <w:tcPr>
            <w:tcW w:w="101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34,562,960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35,308,760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bottom w:val="single" w:sz="12" w:space="0" w:color="000000"/>
            </w:tcBorders>
            <w:shd w:fill="CCEEFF" w:val="clear"/>
            <w:vAlign w:val="center"/>
          </w:tcPr>
          <w:p>
            <w:pPr>
              <w:pStyle w:val="TableContents"/>
              <w:bidi w:val="0"/>
              <w:spacing w:before="0" w:after="283"/>
              <w:jc w:val="left"/>
              <w:rPr/>
            </w:pPr>
            <w:r>
              <w:rPr/>
              <w:t> </w:t>
            </w:r>
          </w:p>
        </w:tc>
        <w:tc>
          <w:tcPr>
            <w:tcW w:w="63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22.37</w:t>
            </w:r>
          </w:p>
        </w:tc>
        <w:tc>
          <w:tcPr>
            <w:tcW w:w="2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1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35,308,760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0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34,562,960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35,308,760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22.37</w:t>
            </w:r>
          </w:p>
        </w:tc>
        <w:tc>
          <w:tcPr>
            <w:tcW w:w="2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1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98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101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636"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9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NSG Captive,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Insurance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- 100,000 Units(9)(21)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98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bottom w:val="single" w:sz="12" w:space="0" w:color="000000"/>
            </w:tcBorders>
            <w:shd w:fill="CCEEFF" w:val="clear"/>
            <w:vAlign w:val="center"/>
          </w:tcPr>
          <w:p>
            <w:pPr>
              <w:pStyle w:val="TableContents"/>
              <w:bidi w:val="0"/>
              <w:spacing w:before="0" w:after="283"/>
              <w:jc w:val="left"/>
              <w:rPr/>
            </w:pPr>
            <w:r>
              <w:rPr/>
              <w:t> </w:t>
            </w:r>
          </w:p>
        </w:tc>
        <w:tc>
          <w:tcPr>
            <w:tcW w:w="101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55,729,376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58,515,918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bottom w:val="single" w:sz="12" w:space="0" w:color="000000"/>
            </w:tcBorders>
            <w:shd w:fill="CCEEFF" w:val="clear"/>
            <w:vAlign w:val="center"/>
          </w:tcPr>
          <w:p>
            <w:pPr>
              <w:pStyle w:val="TableContents"/>
              <w:bidi w:val="0"/>
              <w:spacing w:before="0" w:after="283"/>
              <w:jc w:val="left"/>
              <w:rPr/>
            </w:pPr>
            <w:r>
              <w:rPr/>
              <w:t> </w:t>
            </w:r>
          </w:p>
        </w:tc>
        <w:tc>
          <w:tcPr>
            <w:tcW w:w="63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37.06</w:t>
            </w:r>
          </w:p>
        </w:tc>
        <w:tc>
          <w:tcPr>
            <w:tcW w:w="2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1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0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55,729,376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58,515,918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37.06</w:t>
            </w:r>
          </w:p>
        </w:tc>
        <w:tc>
          <w:tcPr>
            <w:tcW w:w="2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1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98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101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636"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9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NVTN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Hotel, Gaming &amp; Leisure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Lien Term Loan D (SOFR + 7.00%, 2.00% Floor)(24)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12/31/2029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9,850,000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0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9,979,539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9,850,000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6.24</w:t>
            </w:r>
          </w:p>
        </w:tc>
        <w:tc>
          <w:tcPr>
            <w:tcW w:w="2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Lien Term Loan B  (AFR)(26)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12/31/2029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17,552,420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0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13,916,082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9,653,831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6.12</w:t>
            </w:r>
          </w:p>
        </w:tc>
        <w:tc>
          <w:tcPr>
            <w:tcW w:w="2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First Lien Term Loan C (SOFR + 12.00% PIK, 2.00% Floor)(10)(24)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12/31/2029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11,506,159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0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7,570,055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0.00</w:t>
            </w:r>
          </w:p>
        </w:tc>
        <w:tc>
          <w:tcPr>
            <w:tcW w:w="2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Senior Secured Revolving Note (SOFR + 7.00%, 2.00% Floor)(24)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12/31/2029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0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0.41</w:t>
            </w:r>
          </w:p>
        </w:tc>
        <w:tc>
          <w:tcPr>
            <w:tcW w:w="2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Equity - 1,000 Class A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98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bottom w:val="single" w:sz="12" w:space="0" w:color="000000"/>
            </w:tcBorders>
            <w:shd w:fill="CCEEFF" w:val="clear"/>
            <w:vAlign w:val="center"/>
          </w:tcPr>
          <w:p>
            <w:pPr>
              <w:pStyle w:val="TableContents"/>
              <w:bidi w:val="0"/>
              <w:spacing w:before="0" w:after="283"/>
              <w:jc w:val="left"/>
              <w:rPr/>
            </w:pPr>
            <w:r>
              <w:rPr/>
              <w:t> </w:t>
            </w:r>
          </w:p>
        </w:tc>
        <w:tc>
          <w:tcPr>
            <w:tcW w:w="101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21,450,924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bottom w:val="single" w:sz="12" w:space="0" w:color="000000"/>
            </w:tcBorders>
            <w:shd w:fill="CCEEFF" w:val="clear"/>
            <w:vAlign w:val="center"/>
          </w:tcPr>
          <w:p>
            <w:pPr>
              <w:pStyle w:val="TableContents"/>
              <w:bidi w:val="0"/>
              <w:spacing w:before="0" w:after="283"/>
              <w:jc w:val="left"/>
              <w:rPr/>
            </w:pPr>
            <w:r>
              <w:rPr/>
              <w:t> </w:t>
            </w:r>
          </w:p>
        </w:tc>
        <w:tc>
          <w:tcPr>
            <w:tcW w:w="63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0.00</w:t>
            </w:r>
          </w:p>
        </w:tc>
        <w:tc>
          <w:tcPr>
            <w:tcW w:w="2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1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98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39,559,579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bottom w:val="single" w:sz="12" w:space="0" w:color="000000"/>
            </w:tcBorders>
            <w:shd w:fill="CCEEFF" w:val="clear"/>
            <w:vAlign w:val="center"/>
          </w:tcPr>
          <w:p>
            <w:pPr>
              <w:pStyle w:val="TableContents"/>
              <w:bidi w:val="0"/>
              <w:spacing w:before="0" w:after="283"/>
              <w:jc w:val="left"/>
              <w:rPr/>
            </w:pPr>
            <w:r>
              <w:rPr/>
              <w:t> </w:t>
            </w:r>
          </w:p>
        </w:tc>
        <w:tc>
          <w:tcPr>
            <w:tcW w:w="101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53,566,600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20,153,831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bottom w:val="single" w:sz="12" w:space="0" w:color="000000"/>
            </w:tcBorders>
            <w:shd w:fill="CCEEFF" w:val="clear"/>
            <w:vAlign w:val="center"/>
          </w:tcPr>
          <w:p>
            <w:pPr>
              <w:pStyle w:val="TableContents"/>
              <w:bidi w:val="0"/>
              <w:spacing w:before="0" w:after="283"/>
              <w:jc w:val="left"/>
              <w:rPr/>
            </w:pPr>
            <w:r>
              <w:rPr/>
              <w:t> </w:t>
            </w:r>
          </w:p>
        </w:tc>
        <w:tc>
          <w:tcPr>
            <w:tcW w:w="63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12.77</w:t>
            </w:r>
          </w:p>
        </w:tc>
        <w:tc>
          <w:tcPr>
            <w:tcW w:w="2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1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98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101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636"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2076" w:type="dxa"/>
            <w:gridSpan w:val="3"/>
            <w:tcBorders/>
            <w:shd w:fill="CCEEFF" w:val="clear"/>
            <w:tcMar>
              <w:bottom w:w="0"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Subtotal Control Investments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1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98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165,965,351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bottom w:val="single" w:sz="12" w:space="0" w:color="000000"/>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101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155,112,950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128,535,521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bottom w:val="single" w:sz="12" w:space="0" w:color="000000"/>
            </w:tcBorders>
            <w:shd w:fill="CCEEFF" w:val="clear"/>
            <w:vAlign w:val="center"/>
          </w:tcPr>
          <w:p>
            <w:pPr>
              <w:pStyle w:val="TableContents"/>
              <w:bidi w:val="0"/>
              <w:spacing w:before="0" w:after="283"/>
              <w:jc w:val="left"/>
              <w:rPr/>
            </w:pPr>
            <w:r>
              <w:rPr/>
              <w:t> </w:t>
            </w:r>
          </w:p>
        </w:tc>
        <w:tc>
          <w:tcPr>
            <w:tcW w:w="63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81.42</w:t>
            </w:r>
          </w:p>
        </w:tc>
        <w:tc>
          <w:tcPr>
            <w:tcW w:w="2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sz w:val="18"/>
              </w:rPr>
            </w:pPr>
            <w:r>
              <w:rPr>
                <w:rFonts w:ascii="Times New Roman;Times;Serif" w:hAnsi="Times New Roman;Times;Serif"/>
                <w:b/>
                <w:sz w:val="18"/>
              </w:rPr>
              <w:t>%</w:t>
            </w:r>
          </w:p>
        </w:tc>
      </w:tr>
      <w:tr>
        <w:trPr/>
        <w:tc>
          <w:tcPr>
            <w:tcW w:w="9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1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98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101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636"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9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90" w:type="dxa"/>
            <w:gridSpan w:val="4"/>
            <w:tcBorders/>
            <w:shd w:fill="CCEEFF" w:val="clear"/>
            <w:tcMar>
              <w:bottom w:w="0"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Total Investments, June 30, 2026</w:t>
            </w:r>
          </w:p>
        </w:tc>
        <w:tc>
          <w:tcPr>
            <w:tcW w:w="76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double" w:sz="10" w:space="0" w:color="000000"/>
            </w:tcBorders>
            <w:shd w:fill="CCEEFF" w:val="clear"/>
            <w:vAlign w:val="center"/>
          </w:tcPr>
          <w:p>
            <w:pPr>
              <w:pStyle w:val="TableContents"/>
              <w:bidi w:val="0"/>
              <w:spacing w:before="0" w:after="283"/>
              <w:jc w:val="left"/>
              <w:rPr/>
            </w:pPr>
            <w:r>
              <w:rPr/>
              <w:t> </w:t>
            </w:r>
          </w:p>
        </w:tc>
        <w:tc>
          <w:tcPr>
            <w:tcW w:w="983"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307,304,493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1015"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327,414,128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5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301,637,310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bottom w:val="double" w:sz="10" w:space="0" w:color="000000"/>
            </w:tcBorders>
            <w:shd w:fill="CCEEFF" w:val="clear"/>
            <w:vAlign w:val="center"/>
          </w:tcPr>
          <w:p>
            <w:pPr>
              <w:pStyle w:val="TableContents"/>
              <w:bidi w:val="0"/>
              <w:spacing w:before="0" w:after="283"/>
              <w:jc w:val="left"/>
              <w:rPr/>
            </w:pPr>
            <w:r>
              <w:rPr/>
              <w:t> </w:t>
            </w:r>
          </w:p>
        </w:tc>
        <w:tc>
          <w:tcPr>
            <w:tcW w:w="636"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191.08</w:t>
            </w:r>
          </w:p>
        </w:tc>
        <w:tc>
          <w:tcPr>
            <w:tcW w:w="279"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Substantially all of our investments are domiciled in the United States. Certain investments also have international operations. </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 amount is presented for debt investments and the amount includes accumulated payment-in-kind (“PIK”) interest, as applicable, and is net of repayments, while the number of shares or units owned is presented for equity investments. Par amount is denominated in U.S. Dollars (“$”) unless otherwise noted.</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unrealized depreciation for U.S. federal income tax purposes totaled $(25,776,818).</w:t>
            </w:r>
          </w:p>
        </w:tc>
      </w:tr>
      <w:tr>
        <w:trPr/>
        <w:tc>
          <w:tcPr>
            <w:tcW w:w="337" w:type="dxa"/>
            <w:tcBorders/>
            <w:vAlign w:val="center"/>
          </w:tcPr>
          <w:p>
            <w:pPr>
              <w:pStyle w:val="TableContents"/>
              <w:bidi w:val="0"/>
              <w:spacing w:before="0" w:after="283"/>
              <w:jc w:val="left"/>
              <w:rPr/>
            </w:pPr>
            <w:r>
              <w:rPr/>
              <w:t> </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tax cost basis of investments is $327,414,128 as of June 30, 2026.</w:t>
            </w:r>
          </w:p>
        </w:tc>
      </w:tr>
      <w:tr>
        <w:trPr/>
        <w:tc>
          <w:tcPr>
            <w:tcW w:w="337" w:type="dxa"/>
            <w:tcBorders/>
            <w:vAlign w:val="center"/>
          </w:tcPr>
          <w:p>
            <w:pPr>
              <w:pStyle w:val="TableContents"/>
              <w:bidi w:val="0"/>
              <w:spacing w:before="0" w:after="283"/>
              <w:jc w:val="left"/>
              <w:rPr/>
            </w:pPr>
            <w:r>
              <w:rPr/>
              <w:t> </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amortized cost represents the original cost adjusted for the amortization or accretion of premium or discount, as applicable, on debt investments using the effective interest method.</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indicated, all securities are valued using significant unobservable inputs, which are categorized as Level 3 assets under the definition of ASC 820 fair value hierarchy (see Note 4).</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is based on net assets of $157,862,907 as of June 30, 2026.</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Affiliated Investments are defined by the 1940 Act as investments in companies in which the Company owns between 5% and 25% of outstanding voting securities or is under common control with such portfolio company.</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Control Investments are defined by the Investment Company Act of 1940, as amended (the “1940 Act”), as investments in companies in which the Company owns more than 25% of the voting securities or maintains greater than 50% of the board representation.</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investment has an unfunded commitment as of June 30, 2026 (see Note 8), and fair value includes the value of any unfunded commitments. The negative cost, if applicable, is the result of the capitalized discount being greater than the principal amount outstanding on the loan. The negative fair value, if applicable, is the result of the capitalized discount on the loan.</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NSG Captive, Inc. owns approximately 86.7% of National Security Group Holdings Inc.</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investment was on non-accrual status as of June 30, 2026.</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investment is not a qualifying asset as defined under Section 55(a) of the 1940 Act, in whole, or in part. As of June 30, 2026, non-qualifying assets represented 10.6% of total assets.</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investment earns 0.50% commitment fee on all unused commitments as of June 30, 2026, and is recorded as a component of interest income on the Consolidated Statements of Operations.</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investment represents a Level 1 security in the ASC 820 table as of June 30, 2026 (see Note 4).</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investment represents a Level 2 security in the ASC 820 table as of June 30, 2026 (see Note 4).</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in use.</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 rate on this preferred equity is 7.875%.</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investment is held through PhenixFIN Investment Holdings FST, LLC.</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 rate on this preferred equity is fixed-to-floating and will shift to 3 month SOFR plus a CSA of 0.262% plus a 6.130% spread on 10/15/2026.</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investment includes an exit fee that is receivable upon repayment of the loan. See Note 2 “Significant Accounting Policies.”</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Credit Spread Adjustment (“CSA”).</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Non-income producing security.</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investment is valued using NAV as a practical expedient.</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 rate on these securities is subject to 1 month SOFR, which as of June 30, 2026 was 3.65%.</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 rate on these securities is subject to 3 month SOFR, which as of  June 30, 2026 was 3.73%.</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in use.</w:t>
            </w:r>
          </w:p>
        </w:tc>
      </w:tr>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 rate on these securities is subject to the quarterly Applicable Federal Rate, (“AFR”), which as of June 30, 2026 was 3.79%.</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26"/>
        <w:gridCol w:w="90"/>
        <w:gridCol w:w="888"/>
        <w:gridCol w:w="90"/>
        <w:gridCol w:w="2077"/>
        <w:gridCol w:w="90"/>
        <w:gridCol w:w="746"/>
        <w:gridCol w:w="90"/>
        <w:gridCol w:w="90"/>
        <w:gridCol w:w="151"/>
        <w:gridCol w:w="836"/>
        <w:gridCol w:w="90"/>
        <w:gridCol w:w="90"/>
        <w:gridCol w:w="140"/>
        <w:gridCol w:w="860"/>
        <w:gridCol w:w="90"/>
        <w:gridCol w:w="90"/>
        <w:gridCol w:w="140"/>
        <w:gridCol w:w="860"/>
        <w:gridCol w:w="90"/>
        <w:gridCol w:w="90"/>
        <w:gridCol w:w="146"/>
        <w:gridCol w:w="596"/>
        <w:gridCol w:w="249"/>
      </w:tblGrid>
      <w:tr>
        <w:trPr/>
        <w:tc>
          <w:tcPr>
            <w:tcW w:w="1526" w:type="dxa"/>
            <w:tcBorders>
              <w:bottom w:val="single" w:sz="12" w:space="0" w:color="000000"/>
            </w:tcBorders>
            <w:vAlign w:val="center"/>
          </w:tcPr>
          <w:p>
            <w:pPr>
              <w:pStyle w:val="TableContents"/>
              <w:bidi w:val="0"/>
              <w:spacing w:before="0" w:after="283"/>
              <w:jc w:val="left"/>
              <w:rPr>
                <w:b/>
                <w:sz w:val="18"/>
              </w:rPr>
            </w:pPr>
            <w:r>
              <w:rPr>
                <w:b/>
                <w:sz w:val="18"/>
              </w:rPr>
              <w:t>Company(1)</w:t>
            </w:r>
          </w:p>
        </w:tc>
        <w:tc>
          <w:tcPr>
            <w:tcW w:w="90" w:type="dxa"/>
            <w:tcBorders/>
            <w:tcMar>
              <w:bottom w:w="0" w:type="dxa"/>
            </w:tcMar>
            <w:vAlign w:val="center"/>
          </w:tcPr>
          <w:p>
            <w:pPr>
              <w:pStyle w:val="TableContents"/>
              <w:bidi w:val="0"/>
              <w:spacing w:before="0" w:after="283"/>
              <w:jc w:val="left"/>
              <w:rPr/>
            </w:pPr>
            <w:r>
              <w:rPr/>
              <w:t> </w:t>
            </w:r>
          </w:p>
        </w:tc>
        <w:tc>
          <w:tcPr>
            <w:tcW w:w="888" w:type="dxa"/>
            <w:tcBorders>
              <w:bottom w:val="single" w:sz="12" w:space="0" w:color="000000"/>
            </w:tcBorders>
            <w:vAlign w:val="center"/>
          </w:tcPr>
          <w:p>
            <w:pPr>
              <w:pStyle w:val="TableContents"/>
              <w:bidi w:val="0"/>
              <w:spacing w:before="0" w:after="283"/>
              <w:jc w:val="center"/>
              <w:rPr>
                <w:b/>
                <w:sz w:val="18"/>
              </w:rPr>
            </w:pPr>
            <w:r>
              <w:rPr>
                <w:b/>
                <w:sz w:val="18"/>
              </w:rPr>
              <w:t>Industry</w:t>
            </w:r>
          </w:p>
        </w:tc>
        <w:tc>
          <w:tcPr>
            <w:tcW w:w="90" w:type="dxa"/>
            <w:tcBorders/>
            <w:tcMar>
              <w:bottom w:w="0" w:type="dxa"/>
            </w:tcMar>
            <w:vAlign w:val="center"/>
          </w:tcPr>
          <w:p>
            <w:pPr>
              <w:pStyle w:val="TableContents"/>
              <w:bidi w:val="0"/>
              <w:spacing w:before="0" w:after="283"/>
              <w:jc w:val="left"/>
              <w:rPr/>
            </w:pPr>
            <w:r>
              <w:rPr/>
              <w:t> </w:t>
            </w:r>
          </w:p>
        </w:tc>
        <w:tc>
          <w:tcPr>
            <w:tcW w:w="2077" w:type="dxa"/>
            <w:tcBorders>
              <w:bottom w:val="single" w:sz="12" w:space="0" w:color="000000"/>
            </w:tcBorders>
            <w:vAlign w:val="center"/>
          </w:tcPr>
          <w:p>
            <w:pPr>
              <w:pStyle w:val="TableContents"/>
              <w:bidi w:val="0"/>
              <w:spacing w:before="0" w:after="283"/>
              <w:jc w:val="center"/>
              <w:rPr>
                <w:b/>
                <w:sz w:val="18"/>
              </w:rPr>
            </w:pPr>
            <w:r>
              <w:rPr>
                <w:b/>
                <w:sz w:val="18"/>
              </w:rPr>
              <w:t>Type of Investment</w:t>
            </w:r>
          </w:p>
        </w:tc>
        <w:tc>
          <w:tcPr>
            <w:tcW w:w="90" w:type="dxa"/>
            <w:tcBorders/>
            <w:tcMar>
              <w:bottom w:w="0" w:type="dxa"/>
            </w:tcMar>
            <w:vAlign w:val="center"/>
          </w:tcPr>
          <w:p>
            <w:pPr>
              <w:pStyle w:val="TableContents"/>
              <w:bidi w:val="0"/>
              <w:spacing w:before="0" w:after="283"/>
              <w:jc w:val="left"/>
              <w:rPr/>
            </w:pPr>
            <w:r>
              <w:rPr/>
              <w:t> </w:t>
            </w:r>
          </w:p>
        </w:tc>
        <w:tc>
          <w:tcPr>
            <w:tcW w:w="746" w:type="dxa"/>
            <w:tcBorders>
              <w:bottom w:val="single" w:sz="12" w:space="0" w:color="000000"/>
            </w:tcBorders>
            <w:vAlign w:val="center"/>
          </w:tcPr>
          <w:p>
            <w:pPr>
              <w:pStyle w:val="TableContents"/>
              <w:bidi w:val="0"/>
              <w:spacing w:before="0" w:after="283"/>
              <w:jc w:val="center"/>
              <w:rPr>
                <w:b/>
                <w:sz w:val="18"/>
              </w:rPr>
            </w:pPr>
            <w:r>
              <w:rPr>
                <w:b/>
                <w:sz w:val="18"/>
              </w:rPr>
              <w:t>Maturity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7" w:type="dxa"/>
            <w:gridSpan w:val="2"/>
            <w:tcBorders>
              <w:bottom w:val="single" w:sz="12" w:space="0" w:color="000000"/>
            </w:tcBorders>
            <w:vAlign w:val="center"/>
          </w:tcPr>
          <w:p>
            <w:pPr>
              <w:pStyle w:val="TableContents"/>
              <w:bidi w:val="0"/>
              <w:spacing w:before="0" w:after="283"/>
              <w:jc w:val="center"/>
              <w:rPr>
                <w:b/>
                <w:sz w:val="18"/>
              </w:rPr>
            </w:pPr>
            <w:r>
              <w:rPr>
                <w:b/>
                <w:sz w:val="18"/>
              </w:rPr>
              <w:t>Par Amount/</w:t>
              <w:br/>
              <w:t>Shares/Units(2)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sz w:val="18"/>
              </w:rPr>
            </w:pPr>
            <w:r>
              <w:rPr>
                <w:b/>
                <w:sz w:val="18"/>
              </w:rPr>
              <w:t xml:space="preserve">Amortized </w:t>
              <w:br/>
              <w:t>Cost(3)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sz w:val="18"/>
              </w:rPr>
            </w:pPr>
            <w:r>
              <w:rPr>
                <w:b/>
                <w:sz w:val="18"/>
              </w:rPr>
              <w:t xml:space="preserve">Fair </w:t>
              <w:br/>
              <w:t>Value(4)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42" w:type="dxa"/>
            <w:gridSpan w:val="2"/>
            <w:tcBorders>
              <w:bottom w:val="single" w:sz="12" w:space="0" w:color="000000"/>
            </w:tcBorders>
            <w:vAlign w:val="center"/>
          </w:tcPr>
          <w:p>
            <w:pPr>
              <w:pStyle w:val="TableContents"/>
              <w:bidi w:val="0"/>
              <w:spacing w:before="0" w:after="283"/>
              <w:jc w:val="center"/>
              <w:rPr>
                <w:b/>
                <w:sz w:val="18"/>
              </w:rPr>
            </w:pPr>
            <w:r>
              <w:rPr>
                <w:b/>
                <w:sz w:val="18"/>
              </w:rPr>
              <w:t>% of Net</w:t>
              <w:br/>
              <w:t>Assets(5)</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2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4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7"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42" w:type="dxa"/>
            <w:gridSpan w:val="2"/>
            <w:tcBorders/>
            <w:tcMar>
              <w:bottom w:w="0" w:type="dxa"/>
            </w:tcMar>
            <w:vAlign w:val="center"/>
          </w:tcPr>
          <w:p>
            <w:pPr>
              <w:pStyle w:val="TableContents"/>
              <w:bidi w:val="0"/>
              <w:spacing w:before="0" w:after="283"/>
              <w:jc w:val="left"/>
              <w:rPr/>
            </w:pPr>
            <w:r>
              <w:rPr/>
              <w:t> </w:t>
            </w:r>
          </w:p>
        </w:tc>
        <w:tc>
          <w:tcPr>
            <w:tcW w:w="249" w:type="dxa"/>
            <w:tcBorders/>
            <w:tcMar>
              <w:bottom w:w="0" w:type="dxa"/>
            </w:tcMar>
            <w:vAlign w:val="center"/>
          </w:tcPr>
          <w:p>
            <w:pPr>
              <w:pStyle w:val="TableContents"/>
              <w:bidi w:val="0"/>
              <w:spacing w:before="0" w:after="283"/>
              <w:jc w:val="left"/>
              <w:rPr/>
            </w:pPr>
            <w:r>
              <w:rPr/>
              <w:t> </w:t>
            </w:r>
          </w:p>
        </w:tc>
      </w:tr>
      <w:tr>
        <w:trPr/>
        <w:tc>
          <w:tcPr>
            <w:tcW w:w="4671" w:type="dxa"/>
            <w:gridSpan w:val="5"/>
            <w:tcBorders/>
            <w:tcMar>
              <w:bottom w:w="0" w:type="dxa"/>
            </w:tcMar>
            <w:vAlign w:val="center"/>
          </w:tcPr>
          <w:p>
            <w:pPr>
              <w:pStyle w:val="TableContents"/>
              <w:bidi w:val="0"/>
              <w:spacing w:before="0" w:after="283"/>
              <w:jc w:val="left"/>
              <w:rPr>
                <w:b/>
                <w:sz w:val="18"/>
                <w:u w:val="single"/>
              </w:rPr>
            </w:pPr>
            <w:r>
              <w:rPr>
                <w:b/>
                <w:sz w:val="18"/>
                <w:u w:val="single"/>
              </w:rPr>
              <w:t>Non-Controlled/Non-Affiliated Investments:</w:t>
            </w:r>
          </w:p>
        </w:tc>
        <w:tc>
          <w:tcPr>
            <w:tcW w:w="90" w:type="dxa"/>
            <w:tcBorders/>
            <w:tcMar>
              <w:bottom w:w="0" w:type="dxa"/>
            </w:tcMar>
            <w:vAlign w:val="center"/>
          </w:tcPr>
          <w:p>
            <w:pPr>
              <w:pStyle w:val="TableContents"/>
              <w:bidi w:val="0"/>
              <w:spacing w:before="0" w:after="283"/>
              <w:jc w:val="left"/>
              <w:rPr/>
            </w:pPr>
            <w:r>
              <w:rPr/>
              <w:t> </w:t>
            </w:r>
          </w:p>
        </w:tc>
        <w:tc>
          <w:tcPr>
            <w:tcW w:w="74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1" w:type="dxa"/>
            <w:tcBorders/>
            <w:tcMar>
              <w:bottom w:w="0" w:type="dxa"/>
            </w:tcMar>
            <w:vAlign w:val="center"/>
          </w:tcPr>
          <w:p>
            <w:pPr>
              <w:pStyle w:val="TableContents"/>
              <w:bidi w:val="0"/>
              <w:spacing w:before="0" w:after="283"/>
              <w:jc w:val="left"/>
              <w:rPr/>
            </w:pPr>
            <w:r>
              <w:rPr/>
              <w:t> </w:t>
            </w:r>
          </w:p>
        </w:tc>
        <w:tc>
          <w:tcPr>
            <w:tcW w:w="83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6" w:type="dxa"/>
            <w:tcBorders/>
            <w:tcMar>
              <w:bottom w:w="0" w:type="dxa"/>
            </w:tcMar>
            <w:vAlign w:val="center"/>
          </w:tcPr>
          <w:p>
            <w:pPr>
              <w:pStyle w:val="TableContents"/>
              <w:bidi w:val="0"/>
              <w:spacing w:before="0" w:after="283"/>
              <w:jc w:val="right"/>
              <w:rPr/>
            </w:pPr>
            <w:r>
              <w:rPr/>
              <w:t> </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2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4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1" w:type="dxa"/>
            <w:tcBorders/>
            <w:tcMar>
              <w:bottom w:w="0" w:type="dxa"/>
            </w:tcMar>
            <w:vAlign w:val="center"/>
          </w:tcPr>
          <w:p>
            <w:pPr>
              <w:pStyle w:val="TableContents"/>
              <w:bidi w:val="0"/>
              <w:spacing w:before="0" w:after="283"/>
              <w:jc w:val="left"/>
              <w:rPr/>
            </w:pPr>
            <w:r>
              <w:rPr/>
              <w:t> </w:t>
            </w:r>
          </w:p>
        </w:tc>
        <w:tc>
          <w:tcPr>
            <w:tcW w:w="83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6" w:type="dxa"/>
            <w:tcBorders/>
            <w:tcMar>
              <w:bottom w:w="0" w:type="dxa"/>
            </w:tcMar>
            <w:vAlign w:val="center"/>
          </w:tcPr>
          <w:p>
            <w:pPr>
              <w:pStyle w:val="TableContents"/>
              <w:bidi w:val="0"/>
              <w:spacing w:before="0" w:after="283"/>
              <w:jc w:val="right"/>
              <w:rPr/>
            </w:pPr>
            <w:r>
              <w:rPr/>
              <w:t> </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26" w:type="dxa"/>
            <w:tcBorders/>
            <w:shd w:fill="CCEEFF" w:val="clear"/>
            <w:tcMar>
              <w:bottom w:w="0" w:type="dxa"/>
            </w:tcMar>
            <w:vAlign w:val="center"/>
          </w:tcPr>
          <w:p>
            <w:pPr>
              <w:pStyle w:val="TableContents"/>
              <w:bidi w:val="0"/>
              <w:spacing w:before="0" w:after="283"/>
              <w:jc w:val="left"/>
              <w:rPr>
                <w:sz w:val="18"/>
              </w:rPr>
            </w:pPr>
            <w:r>
              <w:rPr>
                <w:sz w:val="18"/>
              </w:rPr>
              <w:t>Adamas Trust,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sz w:val="18"/>
              </w:rPr>
            </w:pPr>
            <w:r>
              <w:rPr>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sz w:val="18"/>
              </w:rPr>
            </w:pPr>
            <w:r>
              <w:rPr>
                <w:sz w:val="18"/>
              </w:rPr>
              <w:t>Equity - 221,469 Class E Preferred Units(13)(24)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sz w:val="18"/>
              </w:rPr>
            </w:pPr>
            <w:r>
              <w:rPr>
                <w:sz w:val="18"/>
              </w:rPr>
              <w:t>$</w:t>
            </w:r>
          </w:p>
        </w:tc>
        <w:tc>
          <w:tcPr>
            <w:tcW w:w="836" w:type="dxa"/>
            <w:tcBorders/>
            <w:shd w:fill="CCEEFF" w:val="clear"/>
            <w:tcMar>
              <w:bottom w:w="0" w:type="dxa"/>
            </w:tcMar>
            <w:vAlign w:val="center"/>
          </w:tcPr>
          <w:p>
            <w:pPr>
              <w:pStyle w:val="TableContents"/>
              <w:bidi w:val="0"/>
              <w:spacing w:before="0" w:after="283"/>
              <w:jc w:val="right"/>
              <w:rPr>
                <w:sz w:val="18"/>
              </w:rPr>
            </w:pPr>
            <w:r>
              <w:rPr>
                <w:sz w:val="18"/>
              </w:rPr>
              <w:t>221,469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18"/>
              </w:rPr>
            </w:pPr>
            <w:r>
              <w:rPr>
                <w:sz w:val="18"/>
              </w:rPr>
              <w:t>$</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5,510,240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18"/>
              </w:rPr>
            </w:pPr>
            <w:r>
              <w:rPr>
                <w:sz w:val="18"/>
              </w:rPr>
              <w:t>$</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5,565,516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3.45</w:t>
            </w:r>
          </w:p>
        </w:tc>
        <w:tc>
          <w:tcPr>
            <w:tcW w:w="24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2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sz w:val="18"/>
              </w:rPr>
            </w:pPr>
            <w:r>
              <w:rPr>
                <w:sz w:val="18"/>
              </w:rPr>
              <w:t>Equity - 17,243 Class F Preferred Units(13)(18)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12" w:space="0" w:color="000000"/>
            </w:tcBorders>
            <w:shd w:fill="CCEEFF" w:val="clear"/>
            <w:vAlign w:val="center"/>
          </w:tcPr>
          <w:p>
            <w:pPr>
              <w:pStyle w:val="TableContents"/>
              <w:bidi w:val="0"/>
              <w:spacing w:before="0" w:after="283"/>
              <w:jc w:val="left"/>
              <w:rPr/>
            </w:pPr>
            <w:r>
              <w:rPr/>
              <w:t> </w:t>
            </w:r>
          </w:p>
        </w:tc>
        <w:tc>
          <w:tcPr>
            <w:tcW w:w="836" w:type="dxa"/>
            <w:tcBorders>
              <w:bottom w:val="single" w:sz="12" w:space="0" w:color="000000"/>
            </w:tcBorders>
            <w:shd w:fill="CCEEFF" w:val="clear"/>
            <w:vAlign w:val="center"/>
          </w:tcPr>
          <w:p>
            <w:pPr>
              <w:pStyle w:val="TableContents"/>
              <w:bidi w:val="0"/>
              <w:spacing w:before="0" w:after="283"/>
              <w:jc w:val="right"/>
              <w:rPr>
                <w:sz w:val="18"/>
              </w:rPr>
            </w:pPr>
            <w:r>
              <w:rPr>
                <w:sz w:val="18"/>
              </w:rPr>
              <w:t>17,243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375,635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392,278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6" w:type="dxa"/>
            <w:tcBorders>
              <w:bottom w:val="single" w:sz="12" w:space="0" w:color="000000"/>
            </w:tcBorders>
            <w:shd w:fill="CCEEFF" w:val="clear"/>
            <w:vAlign w:val="center"/>
          </w:tcPr>
          <w:p>
            <w:pPr>
              <w:pStyle w:val="TableContents"/>
              <w:bidi w:val="0"/>
              <w:spacing w:before="0" w:after="283"/>
              <w:jc w:val="right"/>
              <w:rPr>
                <w:sz w:val="18"/>
              </w:rPr>
            </w:pPr>
            <w:r>
              <w:rPr>
                <w:sz w:val="18"/>
              </w:rPr>
              <w:t>0.24</w:t>
            </w:r>
          </w:p>
        </w:tc>
        <w:tc>
          <w:tcPr>
            <w:tcW w:w="24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2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sz w:val="18"/>
              </w:rPr>
            </w:pPr>
            <w:r>
              <w:rPr>
                <w:sz w:val="18"/>
              </w:rPr>
              <w:t>238,712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5,885,875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5,957,794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3.69</w:t>
            </w:r>
          </w:p>
        </w:tc>
        <w:tc>
          <w:tcPr>
            <w:tcW w:w="24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2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4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1" w:type="dxa"/>
            <w:tcBorders/>
            <w:tcMar>
              <w:bottom w:w="0" w:type="dxa"/>
            </w:tcMar>
            <w:vAlign w:val="center"/>
          </w:tcPr>
          <w:p>
            <w:pPr>
              <w:pStyle w:val="TableContents"/>
              <w:bidi w:val="0"/>
              <w:spacing w:before="0" w:after="283"/>
              <w:jc w:val="left"/>
              <w:rPr/>
            </w:pPr>
            <w:r>
              <w:rPr/>
              <w:t> </w:t>
            </w:r>
          </w:p>
        </w:tc>
        <w:tc>
          <w:tcPr>
            <w:tcW w:w="83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6" w:type="dxa"/>
            <w:tcBorders/>
            <w:tcMar>
              <w:bottom w:w="0" w:type="dxa"/>
            </w:tcMar>
            <w:vAlign w:val="center"/>
          </w:tcPr>
          <w:p>
            <w:pPr>
              <w:pStyle w:val="TableContents"/>
              <w:bidi w:val="0"/>
              <w:spacing w:before="0" w:after="283"/>
              <w:jc w:val="right"/>
              <w:rPr/>
            </w:pPr>
            <w:r>
              <w:rPr/>
              <w:t> </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26" w:type="dxa"/>
            <w:tcBorders/>
            <w:shd w:fill="CCEEFF" w:val="clear"/>
            <w:tcMar>
              <w:bottom w:w="0" w:type="dxa"/>
            </w:tcMar>
            <w:vAlign w:val="center"/>
          </w:tcPr>
          <w:p>
            <w:pPr>
              <w:pStyle w:val="TableContents"/>
              <w:bidi w:val="0"/>
              <w:spacing w:before="0" w:after="283"/>
              <w:jc w:val="left"/>
              <w:rPr>
                <w:sz w:val="18"/>
              </w:rPr>
            </w:pPr>
            <w:r>
              <w:rPr>
                <w:sz w:val="18"/>
              </w:rPr>
              <w:t>Altisource S.A.R.L.(11)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sz w:val="18"/>
              </w:rPr>
            </w:pPr>
            <w:r>
              <w:rPr>
                <w:sz w:val="18"/>
              </w:rPr>
              <w:t>Services: Business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sz w:val="18"/>
              </w:rPr>
            </w:pPr>
            <w:r>
              <w:rPr>
                <w:sz w:val="18"/>
              </w:rPr>
              <w:t>Senior Secured First Lien Term Loan B  (SOFR + CSA + 6.50%)(14)(20)(24)(27)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sz w:val="18"/>
              </w:rPr>
            </w:pPr>
            <w:r>
              <w:rPr>
                <w:sz w:val="18"/>
              </w:rPr>
              <w:t>4/30/2030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sz w:val="18"/>
              </w:rPr>
            </w:pPr>
            <w:r>
              <w:rPr>
                <w:sz w:val="18"/>
              </w:rPr>
              <w:t>8,040,718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8,460,009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8,322,143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5.18</w:t>
            </w:r>
          </w:p>
        </w:tc>
        <w:tc>
          <w:tcPr>
            <w:tcW w:w="24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2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sz w:val="18"/>
              </w:rPr>
            </w:pPr>
            <w:r>
              <w:rPr>
                <w:sz w:val="18"/>
              </w:rPr>
              <w:t>Equity - 547,180 Units(13)(21)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sz w:val="18"/>
              </w:rPr>
            </w:pPr>
            <w:r>
              <w:rPr>
                <w:sz w:val="18"/>
              </w:rPr>
              <w:t>547,180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3,327,909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6,380,119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3.97</w:t>
            </w:r>
          </w:p>
        </w:tc>
        <w:tc>
          <w:tcPr>
            <w:tcW w:w="24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2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sz w:val="18"/>
              </w:rPr>
            </w:pPr>
            <w:r>
              <w:rPr>
                <w:sz w:val="18"/>
              </w:rPr>
              <w:t>Warrants(13)(21)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sz w:val="18"/>
              </w:rPr>
            </w:pPr>
            <w:r>
              <w:rPr>
                <w:sz w:val="18"/>
              </w:rPr>
              <w:t>4/2/2029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sz w:val="18"/>
              </w:rPr>
            </w:pPr>
            <w:r>
              <w:rPr>
                <w:sz w:val="18"/>
              </w:rPr>
              <w:t>111,343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647,105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77,940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0.05</w:t>
            </w:r>
          </w:p>
        </w:tc>
        <w:tc>
          <w:tcPr>
            <w:tcW w:w="24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2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sz w:val="18"/>
              </w:rPr>
            </w:pPr>
            <w:r>
              <w:rPr>
                <w:sz w:val="18"/>
              </w:rPr>
              <w:t>Warrants(13)(21)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sz w:val="18"/>
              </w:rPr>
            </w:pPr>
            <w:r>
              <w:rPr>
                <w:sz w:val="18"/>
              </w:rPr>
              <w:t>4/30/2032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12" w:space="0" w:color="000000"/>
            </w:tcBorders>
            <w:shd w:fill="CCEEFF" w:val="clear"/>
            <w:vAlign w:val="center"/>
          </w:tcPr>
          <w:p>
            <w:pPr>
              <w:pStyle w:val="TableContents"/>
              <w:bidi w:val="0"/>
              <w:spacing w:before="0" w:after="283"/>
              <w:jc w:val="left"/>
              <w:rPr/>
            </w:pPr>
            <w:r>
              <w:rPr/>
              <w:t> </w:t>
            </w:r>
          </w:p>
        </w:tc>
        <w:tc>
          <w:tcPr>
            <w:tcW w:w="836" w:type="dxa"/>
            <w:tcBorders>
              <w:bottom w:val="single" w:sz="12" w:space="0" w:color="000000"/>
            </w:tcBorders>
            <w:shd w:fill="CCEEFF" w:val="clear"/>
            <w:vAlign w:val="center"/>
          </w:tcPr>
          <w:p>
            <w:pPr>
              <w:pStyle w:val="TableContents"/>
              <w:bidi w:val="0"/>
              <w:spacing w:before="0" w:after="283"/>
              <w:jc w:val="right"/>
              <w:rPr>
                <w:sz w:val="18"/>
              </w:rPr>
            </w:pPr>
            <w:r>
              <w:rPr>
                <w:sz w:val="18"/>
              </w:rPr>
              <w:t>111,343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622,110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64,579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6" w:type="dxa"/>
            <w:tcBorders>
              <w:bottom w:val="single" w:sz="12" w:space="0" w:color="000000"/>
            </w:tcBorders>
            <w:shd w:fill="CCEEFF" w:val="clear"/>
            <w:vAlign w:val="center"/>
          </w:tcPr>
          <w:p>
            <w:pPr>
              <w:pStyle w:val="TableContents"/>
              <w:bidi w:val="0"/>
              <w:spacing w:before="0" w:after="283"/>
              <w:jc w:val="right"/>
              <w:rPr>
                <w:sz w:val="18"/>
              </w:rPr>
            </w:pPr>
            <w:r>
              <w:rPr>
                <w:sz w:val="18"/>
              </w:rPr>
              <w:t>0.04</w:t>
            </w:r>
          </w:p>
        </w:tc>
        <w:tc>
          <w:tcPr>
            <w:tcW w:w="24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2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sz w:val="18"/>
              </w:rPr>
            </w:pPr>
            <w:r>
              <w:rPr>
                <w:sz w:val="18"/>
              </w:rPr>
              <w:t>8,810,584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13,057,133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14,844,781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9.24</w:t>
            </w:r>
          </w:p>
        </w:tc>
        <w:tc>
          <w:tcPr>
            <w:tcW w:w="24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2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4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1" w:type="dxa"/>
            <w:tcBorders/>
            <w:tcMar>
              <w:bottom w:w="0" w:type="dxa"/>
            </w:tcMar>
            <w:vAlign w:val="center"/>
          </w:tcPr>
          <w:p>
            <w:pPr>
              <w:pStyle w:val="TableContents"/>
              <w:bidi w:val="0"/>
              <w:spacing w:before="0" w:after="283"/>
              <w:jc w:val="left"/>
              <w:rPr/>
            </w:pPr>
            <w:r>
              <w:rPr/>
              <w:t> </w:t>
            </w:r>
          </w:p>
        </w:tc>
        <w:tc>
          <w:tcPr>
            <w:tcW w:w="83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6" w:type="dxa"/>
            <w:tcBorders/>
            <w:tcMar>
              <w:bottom w:w="0" w:type="dxa"/>
            </w:tcMar>
            <w:vAlign w:val="center"/>
          </w:tcPr>
          <w:p>
            <w:pPr>
              <w:pStyle w:val="TableContents"/>
              <w:bidi w:val="0"/>
              <w:spacing w:before="0" w:after="283"/>
              <w:jc w:val="right"/>
              <w:rPr/>
            </w:pPr>
            <w:r>
              <w:rPr/>
              <w:t> </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26" w:type="dxa"/>
            <w:tcBorders/>
            <w:shd w:fill="CCEEFF" w:val="clear"/>
            <w:tcMar>
              <w:bottom w:w="0" w:type="dxa"/>
            </w:tcMar>
            <w:vAlign w:val="center"/>
          </w:tcPr>
          <w:p>
            <w:pPr>
              <w:pStyle w:val="TableContents"/>
              <w:bidi w:val="0"/>
              <w:spacing w:before="0" w:after="283"/>
              <w:jc w:val="left"/>
              <w:rPr>
                <w:sz w:val="18"/>
              </w:rPr>
            </w:pPr>
            <w:r>
              <w:rPr>
                <w:sz w:val="18"/>
              </w:rPr>
              <w:t>Boostability Seotowncenter,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sz w:val="18"/>
              </w:rPr>
            </w:pPr>
            <w:r>
              <w:rPr>
                <w:sz w:val="18"/>
              </w:rPr>
              <w:t>Services: Business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sz w:val="18"/>
              </w:rPr>
            </w:pPr>
            <w:r>
              <w:rPr>
                <w:sz w:val="18"/>
              </w:rPr>
              <w:t>Equity - 833,152 Common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12" w:space="0" w:color="000000"/>
            </w:tcBorders>
            <w:shd w:fill="CCEEFF" w:val="clear"/>
            <w:vAlign w:val="center"/>
          </w:tcPr>
          <w:p>
            <w:pPr>
              <w:pStyle w:val="TableContents"/>
              <w:bidi w:val="0"/>
              <w:spacing w:before="0" w:after="283"/>
              <w:jc w:val="left"/>
              <w:rPr/>
            </w:pPr>
            <w:r>
              <w:rPr/>
              <w:t> </w:t>
            </w:r>
          </w:p>
        </w:tc>
        <w:tc>
          <w:tcPr>
            <w:tcW w:w="836" w:type="dxa"/>
            <w:tcBorders>
              <w:bottom w:val="single" w:sz="12" w:space="0" w:color="000000"/>
            </w:tcBorders>
            <w:shd w:fill="CCEEFF" w:val="clear"/>
            <w:vAlign w:val="center"/>
          </w:tcPr>
          <w:p>
            <w:pPr>
              <w:pStyle w:val="TableContents"/>
              <w:bidi w:val="0"/>
              <w:spacing w:before="0" w:after="283"/>
              <w:jc w:val="right"/>
              <w:rPr>
                <w:sz w:val="18"/>
              </w:rPr>
            </w:pPr>
            <w:r>
              <w:rPr>
                <w:sz w:val="18"/>
              </w:rPr>
              <w:t>833,152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66,475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6" w:type="dxa"/>
            <w:tcBorders>
              <w:bottom w:val="single" w:sz="12" w:space="0" w:color="000000"/>
            </w:tcBorders>
            <w:shd w:fill="CCEEFF" w:val="clear"/>
            <w:vAlign w:val="center"/>
          </w:tcPr>
          <w:p>
            <w:pPr>
              <w:pStyle w:val="TableContents"/>
              <w:bidi w:val="0"/>
              <w:spacing w:before="0" w:after="283"/>
              <w:jc w:val="right"/>
              <w:rPr>
                <w:sz w:val="18"/>
              </w:rPr>
            </w:pPr>
            <w:r>
              <w:rPr>
                <w:sz w:val="18"/>
              </w:rPr>
              <w:t>0.00</w:t>
            </w:r>
          </w:p>
        </w:tc>
        <w:tc>
          <w:tcPr>
            <w:tcW w:w="24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2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sz w:val="18"/>
              </w:rPr>
            </w:pPr>
            <w:r>
              <w:rPr>
                <w:sz w:val="18"/>
              </w:rPr>
              <w:t>833,152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66,475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0.00</w:t>
            </w:r>
          </w:p>
        </w:tc>
        <w:tc>
          <w:tcPr>
            <w:tcW w:w="24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2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4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1" w:type="dxa"/>
            <w:tcBorders/>
            <w:tcMar>
              <w:bottom w:w="0" w:type="dxa"/>
            </w:tcMar>
            <w:vAlign w:val="center"/>
          </w:tcPr>
          <w:p>
            <w:pPr>
              <w:pStyle w:val="TableContents"/>
              <w:bidi w:val="0"/>
              <w:spacing w:before="0" w:after="283"/>
              <w:jc w:val="left"/>
              <w:rPr/>
            </w:pPr>
            <w:r>
              <w:rPr/>
              <w:t> </w:t>
            </w:r>
          </w:p>
        </w:tc>
        <w:tc>
          <w:tcPr>
            <w:tcW w:w="83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6" w:type="dxa"/>
            <w:tcBorders/>
            <w:tcMar>
              <w:bottom w:w="0" w:type="dxa"/>
            </w:tcMar>
            <w:vAlign w:val="center"/>
          </w:tcPr>
          <w:p>
            <w:pPr>
              <w:pStyle w:val="TableContents"/>
              <w:bidi w:val="0"/>
              <w:spacing w:before="0" w:after="283"/>
              <w:jc w:val="right"/>
              <w:rPr/>
            </w:pPr>
            <w:r>
              <w:rPr/>
              <w:t> </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26" w:type="dxa"/>
            <w:tcBorders/>
            <w:shd w:fill="CCEEFF" w:val="clear"/>
            <w:tcMar>
              <w:bottom w:w="0" w:type="dxa"/>
            </w:tcMar>
            <w:vAlign w:val="center"/>
          </w:tcPr>
          <w:p>
            <w:pPr>
              <w:pStyle w:val="TableContents"/>
              <w:bidi w:val="0"/>
              <w:spacing w:before="0" w:after="283"/>
              <w:jc w:val="left"/>
              <w:rPr>
                <w:sz w:val="18"/>
              </w:rPr>
            </w:pPr>
            <w:r>
              <w:rPr>
                <w:sz w:val="18"/>
              </w:rPr>
              <w:t>CB&amp;L Associates Holdco I, LLC(11)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sz w:val="18"/>
              </w:rPr>
            </w:pPr>
            <w:r>
              <w:rPr>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sz w:val="18"/>
              </w:rPr>
            </w:pPr>
            <w:r>
              <w:rPr>
                <w:sz w:val="18"/>
              </w:rPr>
              <w:t>First Lien Term Loan (SOFR + CSA + 2.75%, 1.00% Floor)(14)(20)(23)(29)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sz w:val="18"/>
              </w:rPr>
            </w:pPr>
            <w:r>
              <w:rPr>
                <w:sz w:val="18"/>
              </w:rPr>
              <w:t>11/1/2025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12" w:space="0" w:color="000000"/>
            </w:tcBorders>
            <w:shd w:fill="CCEEFF" w:val="clear"/>
            <w:vAlign w:val="center"/>
          </w:tcPr>
          <w:p>
            <w:pPr>
              <w:pStyle w:val="TableContents"/>
              <w:bidi w:val="0"/>
              <w:spacing w:before="0" w:after="283"/>
              <w:jc w:val="left"/>
              <w:rPr/>
            </w:pPr>
            <w:r>
              <w:rPr/>
              <w:t> </w:t>
            </w:r>
          </w:p>
        </w:tc>
        <w:tc>
          <w:tcPr>
            <w:tcW w:w="836" w:type="dxa"/>
            <w:tcBorders>
              <w:bottom w:val="single" w:sz="12" w:space="0" w:color="000000"/>
            </w:tcBorders>
            <w:shd w:fill="CCEEFF" w:val="clear"/>
            <w:vAlign w:val="center"/>
          </w:tcPr>
          <w:p>
            <w:pPr>
              <w:pStyle w:val="TableContents"/>
              <w:bidi w:val="0"/>
              <w:spacing w:before="0" w:after="283"/>
              <w:jc w:val="right"/>
              <w:rPr>
                <w:sz w:val="18"/>
              </w:rPr>
            </w:pPr>
            <w:r>
              <w:rPr>
                <w:sz w:val="18"/>
              </w:rPr>
              <w:t>2,879,525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2,419,049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2,753,546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6" w:type="dxa"/>
            <w:tcBorders>
              <w:bottom w:val="single" w:sz="12" w:space="0" w:color="000000"/>
            </w:tcBorders>
            <w:shd w:fill="CCEEFF" w:val="clear"/>
            <w:vAlign w:val="center"/>
          </w:tcPr>
          <w:p>
            <w:pPr>
              <w:pStyle w:val="TableContents"/>
              <w:bidi w:val="0"/>
              <w:spacing w:before="0" w:after="283"/>
              <w:jc w:val="right"/>
              <w:rPr>
                <w:sz w:val="18"/>
              </w:rPr>
            </w:pPr>
            <w:r>
              <w:rPr>
                <w:sz w:val="18"/>
              </w:rPr>
              <w:t>1.71</w:t>
            </w:r>
          </w:p>
        </w:tc>
        <w:tc>
          <w:tcPr>
            <w:tcW w:w="24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2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sz w:val="18"/>
              </w:rPr>
            </w:pPr>
            <w:r>
              <w:rPr>
                <w:sz w:val="18"/>
              </w:rPr>
              <w:t>2,879,525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2,419,049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2,753,546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1.71</w:t>
            </w:r>
          </w:p>
        </w:tc>
        <w:tc>
          <w:tcPr>
            <w:tcW w:w="24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2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4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1" w:type="dxa"/>
            <w:tcBorders/>
            <w:tcMar>
              <w:bottom w:w="0" w:type="dxa"/>
            </w:tcMar>
            <w:vAlign w:val="center"/>
          </w:tcPr>
          <w:p>
            <w:pPr>
              <w:pStyle w:val="TableContents"/>
              <w:bidi w:val="0"/>
              <w:spacing w:before="0" w:after="283"/>
              <w:jc w:val="left"/>
              <w:rPr/>
            </w:pPr>
            <w:r>
              <w:rPr/>
              <w:t> </w:t>
            </w:r>
          </w:p>
        </w:tc>
        <w:tc>
          <w:tcPr>
            <w:tcW w:w="83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6" w:type="dxa"/>
            <w:tcBorders/>
            <w:tcMar>
              <w:bottom w:w="0" w:type="dxa"/>
            </w:tcMar>
            <w:vAlign w:val="center"/>
          </w:tcPr>
          <w:p>
            <w:pPr>
              <w:pStyle w:val="TableContents"/>
              <w:bidi w:val="0"/>
              <w:spacing w:before="0" w:after="283"/>
              <w:jc w:val="right"/>
              <w:rPr/>
            </w:pPr>
            <w:r>
              <w:rPr/>
              <w:t> </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26" w:type="dxa"/>
            <w:tcBorders/>
            <w:shd w:fill="CCEEFF" w:val="clear"/>
            <w:tcMar>
              <w:bottom w:w="0" w:type="dxa"/>
            </w:tcMar>
            <w:vAlign w:val="center"/>
          </w:tcPr>
          <w:p>
            <w:pPr>
              <w:pStyle w:val="TableContents"/>
              <w:bidi w:val="0"/>
              <w:spacing w:before="0" w:after="283"/>
              <w:jc w:val="left"/>
              <w:rPr>
                <w:sz w:val="18"/>
              </w:rPr>
            </w:pPr>
            <w:r>
              <w:rPr>
                <w:sz w:val="18"/>
              </w:rPr>
              <w:t>Chimera Investment Corp.(11)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sz w:val="18"/>
              </w:rPr>
            </w:pPr>
            <w:r>
              <w:rPr>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sz w:val="18"/>
              </w:rPr>
            </w:pPr>
            <w:r>
              <w:rPr>
                <w:sz w:val="18"/>
              </w:rPr>
              <w:t>Equity - 151,710 Class C Preferred Units(13)(15)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sz w:val="18"/>
              </w:rPr>
            </w:pPr>
            <w:r>
              <w:rPr>
                <w:sz w:val="18"/>
              </w:rPr>
              <w:t>151,710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3,635,972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3,504,501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2.18</w:t>
            </w:r>
          </w:p>
        </w:tc>
        <w:tc>
          <w:tcPr>
            <w:tcW w:w="24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2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sz w:val="18"/>
              </w:rPr>
            </w:pPr>
            <w:r>
              <w:rPr>
                <w:sz w:val="18"/>
              </w:rPr>
              <w:t>Equity - 26,133 Class B Preferred Units(13)(24)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12" w:space="0" w:color="000000"/>
            </w:tcBorders>
            <w:shd w:fill="CCEEFF" w:val="clear"/>
            <w:vAlign w:val="center"/>
          </w:tcPr>
          <w:p>
            <w:pPr>
              <w:pStyle w:val="TableContents"/>
              <w:bidi w:val="0"/>
              <w:spacing w:before="0" w:after="283"/>
              <w:jc w:val="left"/>
              <w:rPr/>
            </w:pPr>
            <w:r>
              <w:rPr/>
              <w:t> </w:t>
            </w:r>
          </w:p>
        </w:tc>
        <w:tc>
          <w:tcPr>
            <w:tcW w:w="836" w:type="dxa"/>
            <w:tcBorders>
              <w:bottom w:val="single" w:sz="12" w:space="0" w:color="000000"/>
            </w:tcBorders>
            <w:shd w:fill="CCEEFF" w:val="clear"/>
            <w:vAlign w:val="center"/>
          </w:tcPr>
          <w:p>
            <w:pPr>
              <w:pStyle w:val="TableContents"/>
              <w:bidi w:val="0"/>
              <w:spacing w:before="0" w:after="283"/>
              <w:jc w:val="right"/>
              <w:rPr>
                <w:sz w:val="18"/>
              </w:rPr>
            </w:pPr>
            <w:r>
              <w:rPr>
                <w:sz w:val="18"/>
              </w:rPr>
              <w:t>26,133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635,531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629,544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6" w:type="dxa"/>
            <w:tcBorders>
              <w:bottom w:val="single" w:sz="12" w:space="0" w:color="000000"/>
            </w:tcBorders>
            <w:shd w:fill="CCEEFF" w:val="clear"/>
            <w:vAlign w:val="center"/>
          </w:tcPr>
          <w:p>
            <w:pPr>
              <w:pStyle w:val="TableContents"/>
              <w:bidi w:val="0"/>
              <w:spacing w:before="0" w:after="283"/>
              <w:jc w:val="right"/>
              <w:rPr>
                <w:sz w:val="18"/>
              </w:rPr>
            </w:pPr>
            <w:r>
              <w:rPr>
                <w:sz w:val="18"/>
              </w:rPr>
              <w:t>0.39</w:t>
            </w:r>
          </w:p>
        </w:tc>
        <w:tc>
          <w:tcPr>
            <w:tcW w:w="24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2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sz w:val="18"/>
              </w:rPr>
            </w:pPr>
            <w:r>
              <w:rPr>
                <w:sz w:val="18"/>
              </w:rPr>
              <w:t>177,843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4,271,503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4,134,045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2.57</w:t>
            </w:r>
          </w:p>
        </w:tc>
        <w:tc>
          <w:tcPr>
            <w:tcW w:w="24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2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4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1" w:type="dxa"/>
            <w:tcBorders/>
            <w:tcMar>
              <w:bottom w:w="0" w:type="dxa"/>
            </w:tcMar>
            <w:vAlign w:val="center"/>
          </w:tcPr>
          <w:p>
            <w:pPr>
              <w:pStyle w:val="TableContents"/>
              <w:bidi w:val="0"/>
              <w:spacing w:before="0" w:after="283"/>
              <w:jc w:val="left"/>
              <w:rPr/>
            </w:pPr>
            <w:r>
              <w:rPr/>
              <w:t> </w:t>
            </w:r>
          </w:p>
        </w:tc>
        <w:tc>
          <w:tcPr>
            <w:tcW w:w="83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6" w:type="dxa"/>
            <w:tcBorders/>
            <w:tcMar>
              <w:bottom w:w="0" w:type="dxa"/>
            </w:tcMar>
            <w:vAlign w:val="center"/>
          </w:tcPr>
          <w:p>
            <w:pPr>
              <w:pStyle w:val="TableContents"/>
              <w:bidi w:val="0"/>
              <w:spacing w:before="0" w:after="283"/>
              <w:jc w:val="right"/>
              <w:rPr/>
            </w:pPr>
            <w:r>
              <w:rPr/>
              <w:t> </w:t>
            </w:r>
          </w:p>
        </w:tc>
        <w:tc>
          <w:tcPr>
            <w:tcW w:w="249" w:type="dxa"/>
            <w:tcBorders/>
            <w:tcMar>
              <w:bottom w:w="0" w:type="dxa"/>
            </w:tcMar>
            <w:vAlign w:val="center"/>
          </w:tcPr>
          <w:p>
            <w:pPr>
              <w:pStyle w:val="TableContents"/>
              <w:bidi w:val="0"/>
              <w:spacing w:before="0" w:after="283"/>
              <w:ind w:left="0" w:right="0" w:hanging="180"/>
              <w:jc w:val="left"/>
              <w:rPr/>
            </w:pPr>
            <w:r>
              <w:rPr/>
              <w:t> </w:t>
            </w:r>
          </w:p>
        </w:tc>
      </w:tr>
      <w:tr>
        <w:trPr/>
        <w:tc>
          <w:tcPr>
            <w:tcW w:w="1526" w:type="dxa"/>
            <w:tcBorders/>
            <w:shd w:fill="CCEEFF" w:val="clear"/>
            <w:tcMar>
              <w:bottom w:w="0" w:type="dxa"/>
            </w:tcMar>
            <w:vAlign w:val="center"/>
          </w:tcPr>
          <w:p>
            <w:pPr>
              <w:pStyle w:val="TableContents"/>
              <w:bidi w:val="0"/>
              <w:spacing w:before="0" w:after="283"/>
              <w:jc w:val="left"/>
              <w:rPr>
                <w:sz w:val="18"/>
              </w:rPr>
            </w:pPr>
            <w:r>
              <w:rPr>
                <w:sz w:val="18"/>
              </w:rPr>
              <w:t>Compass Diversified Holdings(11)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sz w:val="18"/>
              </w:rPr>
            </w:pPr>
            <w:r>
              <w:rPr>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sz w:val="18"/>
              </w:rPr>
            </w:pPr>
            <w:r>
              <w:rPr>
                <w:sz w:val="18"/>
              </w:rPr>
              <w:t>Equity - 22,049 Series C Preferred Units(13)(28)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12" w:space="0" w:color="000000"/>
            </w:tcBorders>
            <w:shd w:fill="CCEEFF" w:val="clear"/>
            <w:vAlign w:val="center"/>
          </w:tcPr>
          <w:p>
            <w:pPr>
              <w:pStyle w:val="TableContents"/>
              <w:bidi w:val="0"/>
              <w:spacing w:before="0" w:after="283"/>
              <w:jc w:val="left"/>
              <w:rPr/>
            </w:pPr>
            <w:r>
              <w:rPr/>
              <w:t> </w:t>
            </w:r>
          </w:p>
        </w:tc>
        <w:tc>
          <w:tcPr>
            <w:tcW w:w="836" w:type="dxa"/>
            <w:tcBorders>
              <w:bottom w:val="single" w:sz="12" w:space="0" w:color="000000"/>
            </w:tcBorders>
            <w:shd w:fill="CCEEFF" w:val="clear"/>
            <w:vAlign w:val="center"/>
          </w:tcPr>
          <w:p>
            <w:pPr>
              <w:pStyle w:val="TableContents"/>
              <w:bidi w:val="0"/>
              <w:spacing w:before="0" w:after="283"/>
              <w:jc w:val="right"/>
              <w:rPr>
                <w:sz w:val="18"/>
              </w:rPr>
            </w:pPr>
            <w:r>
              <w:rPr>
                <w:sz w:val="18"/>
              </w:rPr>
              <w:t>22,049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381,008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405,702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6" w:type="dxa"/>
            <w:tcBorders>
              <w:bottom w:val="single" w:sz="12" w:space="0" w:color="000000"/>
            </w:tcBorders>
            <w:shd w:fill="CCEEFF" w:val="clear"/>
            <w:vAlign w:val="center"/>
          </w:tcPr>
          <w:p>
            <w:pPr>
              <w:pStyle w:val="TableContents"/>
              <w:bidi w:val="0"/>
              <w:spacing w:before="0" w:after="283"/>
              <w:jc w:val="right"/>
              <w:rPr>
                <w:sz w:val="18"/>
              </w:rPr>
            </w:pPr>
            <w:r>
              <w:rPr>
                <w:sz w:val="18"/>
              </w:rPr>
              <w:t>0.25</w:t>
            </w:r>
          </w:p>
        </w:tc>
        <w:tc>
          <w:tcPr>
            <w:tcW w:w="24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2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4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sz w:val="18"/>
              </w:rPr>
            </w:pPr>
            <w:r>
              <w:rPr>
                <w:sz w:val="18"/>
              </w:rPr>
              <w:t>22,049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381,008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405,702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0.25</w:t>
            </w:r>
          </w:p>
        </w:tc>
        <w:tc>
          <w:tcPr>
            <w:tcW w:w="249" w:type="dxa"/>
            <w:tcBorders/>
            <w:shd w:fill="CCEEFF" w:val="clear"/>
            <w:tcMar>
              <w:bottom w:w="0" w:type="dxa"/>
            </w:tcMar>
            <w:vAlign w:val="center"/>
          </w:tcPr>
          <w:p>
            <w:pPr>
              <w:pStyle w:val="TableContents"/>
              <w:bidi w:val="0"/>
              <w:spacing w:before="0" w:after="283"/>
              <w:jc w:val="left"/>
              <w:rPr>
                <w:sz w:val="18"/>
              </w:rPr>
            </w:pPr>
            <w:r>
              <w:rPr>
                <w:sz w:val="18"/>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91"/>
        <w:gridCol w:w="90"/>
        <w:gridCol w:w="1101"/>
        <w:gridCol w:w="90"/>
        <w:gridCol w:w="1619"/>
        <w:gridCol w:w="90"/>
        <w:gridCol w:w="753"/>
        <w:gridCol w:w="90"/>
        <w:gridCol w:w="90"/>
        <w:gridCol w:w="144"/>
        <w:gridCol w:w="884"/>
        <w:gridCol w:w="90"/>
        <w:gridCol w:w="90"/>
        <w:gridCol w:w="140"/>
        <w:gridCol w:w="860"/>
        <w:gridCol w:w="90"/>
        <w:gridCol w:w="90"/>
        <w:gridCol w:w="140"/>
        <w:gridCol w:w="860"/>
        <w:gridCol w:w="90"/>
        <w:gridCol w:w="90"/>
        <w:gridCol w:w="90"/>
        <w:gridCol w:w="785"/>
        <w:gridCol w:w="248"/>
      </w:tblGrid>
      <w:tr>
        <w:trPr/>
        <w:tc>
          <w:tcPr>
            <w:tcW w:w="1591" w:type="dxa"/>
            <w:tcBorders>
              <w:bottom w:val="single" w:sz="12" w:space="0" w:color="000000"/>
            </w:tcBorders>
            <w:vAlign w:val="center"/>
          </w:tcPr>
          <w:p>
            <w:pPr>
              <w:pStyle w:val="TableContents"/>
              <w:bidi w:val="0"/>
              <w:spacing w:before="0" w:after="283"/>
              <w:jc w:val="left"/>
              <w:rPr>
                <w:b/>
                <w:sz w:val="18"/>
              </w:rPr>
            </w:pPr>
            <w:r>
              <w:rPr>
                <w:b/>
                <w:sz w:val="18"/>
              </w:rPr>
              <w:t>Company(1)</w:t>
            </w:r>
          </w:p>
        </w:tc>
        <w:tc>
          <w:tcPr>
            <w:tcW w:w="90" w:type="dxa"/>
            <w:tcBorders/>
            <w:tcMar>
              <w:bottom w:w="0" w:type="dxa"/>
            </w:tcMar>
            <w:vAlign w:val="center"/>
          </w:tcPr>
          <w:p>
            <w:pPr>
              <w:pStyle w:val="TableContents"/>
              <w:bidi w:val="0"/>
              <w:spacing w:before="0" w:after="283"/>
              <w:jc w:val="left"/>
              <w:rPr/>
            </w:pPr>
            <w:r>
              <w:rPr/>
              <w:t> </w:t>
            </w:r>
          </w:p>
        </w:tc>
        <w:tc>
          <w:tcPr>
            <w:tcW w:w="1101" w:type="dxa"/>
            <w:tcBorders>
              <w:bottom w:val="single" w:sz="12" w:space="0" w:color="000000"/>
            </w:tcBorders>
            <w:vAlign w:val="center"/>
          </w:tcPr>
          <w:p>
            <w:pPr>
              <w:pStyle w:val="TableContents"/>
              <w:bidi w:val="0"/>
              <w:spacing w:before="0" w:after="283"/>
              <w:jc w:val="center"/>
              <w:rPr>
                <w:b/>
                <w:sz w:val="18"/>
              </w:rPr>
            </w:pPr>
            <w:r>
              <w:rPr>
                <w:b/>
                <w:sz w:val="18"/>
              </w:rPr>
              <w:t>Industry</w:t>
            </w:r>
          </w:p>
        </w:tc>
        <w:tc>
          <w:tcPr>
            <w:tcW w:w="90" w:type="dxa"/>
            <w:tcBorders/>
            <w:tcMar>
              <w:bottom w:w="0" w:type="dxa"/>
            </w:tcMar>
            <w:vAlign w:val="center"/>
          </w:tcPr>
          <w:p>
            <w:pPr>
              <w:pStyle w:val="TableContents"/>
              <w:bidi w:val="0"/>
              <w:spacing w:before="0" w:after="283"/>
              <w:jc w:val="left"/>
              <w:rPr/>
            </w:pPr>
            <w:r>
              <w:rPr/>
              <w:t> </w:t>
            </w:r>
          </w:p>
        </w:tc>
        <w:tc>
          <w:tcPr>
            <w:tcW w:w="1619" w:type="dxa"/>
            <w:tcBorders>
              <w:bottom w:val="single" w:sz="12" w:space="0" w:color="000000"/>
            </w:tcBorders>
            <w:vAlign w:val="center"/>
          </w:tcPr>
          <w:p>
            <w:pPr>
              <w:pStyle w:val="TableContents"/>
              <w:bidi w:val="0"/>
              <w:spacing w:before="0" w:after="283"/>
              <w:jc w:val="center"/>
              <w:rPr>
                <w:b/>
                <w:sz w:val="18"/>
              </w:rPr>
            </w:pPr>
            <w:r>
              <w:rPr>
                <w:b/>
                <w:sz w:val="18"/>
              </w:rPr>
              <w:t>Type of Investment</w:t>
            </w:r>
          </w:p>
        </w:tc>
        <w:tc>
          <w:tcPr>
            <w:tcW w:w="90" w:type="dxa"/>
            <w:tcBorders/>
            <w:tcMar>
              <w:bottom w:w="0" w:type="dxa"/>
            </w:tcMar>
            <w:vAlign w:val="center"/>
          </w:tcPr>
          <w:p>
            <w:pPr>
              <w:pStyle w:val="TableContents"/>
              <w:bidi w:val="0"/>
              <w:spacing w:before="0" w:after="283"/>
              <w:jc w:val="left"/>
              <w:rPr/>
            </w:pPr>
            <w:r>
              <w:rPr/>
              <w:t> </w:t>
            </w:r>
          </w:p>
        </w:tc>
        <w:tc>
          <w:tcPr>
            <w:tcW w:w="753" w:type="dxa"/>
            <w:tcBorders>
              <w:bottom w:val="single" w:sz="12" w:space="0" w:color="000000"/>
            </w:tcBorders>
            <w:vAlign w:val="center"/>
          </w:tcPr>
          <w:p>
            <w:pPr>
              <w:pStyle w:val="TableContents"/>
              <w:bidi w:val="0"/>
              <w:spacing w:before="0" w:after="283"/>
              <w:jc w:val="center"/>
              <w:rPr>
                <w:b/>
                <w:sz w:val="18"/>
              </w:rPr>
            </w:pPr>
            <w:r>
              <w:rPr>
                <w:b/>
                <w:sz w:val="18"/>
              </w:rPr>
              <w:t>Maturity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8" w:type="dxa"/>
            <w:gridSpan w:val="2"/>
            <w:tcBorders>
              <w:bottom w:val="single" w:sz="12" w:space="0" w:color="000000"/>
            </w:tcBorders>
            <w:vAlign w:val="center"/>
          </w:tcPr>
          <w:p>
            <w:pPr>
              <w:pStyle w:val="TableContents"/>
              <w:bidi w:val="0"/>
              <w:spacing w:before="0" w:after="283"/>
              <w:jc w:val="center"/>
              <w:rPr>
                <w:b/>
                <w:sz w:val="18"/>
              </w:rPr>
            </w:pPr>
            <w:r>
              <w:rPr>
                <w:b/>
                <w:sz w:val="18"/>
              </w:rPr>
              <w:t>Par Amount/</w:t>
              <w:br/>
              <w:t>Shares/Units(2)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sz w:val="18"/>
              </w:rPr>
            </w:pPr>
            <w:r>
              <w:rPr>
                <w:b/>
                <w:sz w:val="18"/>
              </w:rPr>
              <w:t xml:space="preserve">Amortized </w:t>
              <w:br/>
              <w:t>Cost(3)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sz w:val="18"/>
              </w:rPr>
            </w:pPr>
            <w:r>
              <w:rPr>
                <w:b/>
                <w:sz w:val="18"/>
              </w:rPr>
              <w:t xml:space="preserve">Fair </w:t>
              <w:br/>
              <w:t>Value(4)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center"/>
              <w:rPr>
                <w:b/>
                <w:sz w:val="18"/>
              </w:rPr>
            </w:pPr>
            <w:r>
              <w:rPr>
                <w:b/>
                <w:sz w:val="18"/>
              </w:rPr>
              <w:t>% of Net</w:t>
              <w:br/>
              <w:t>Assets(5)</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591" w:type="dxa"/>
            <w:tcBorders/>
            <w:shd w:fill="CCEEFF" w:val="clear"/>
            <w:tcMar>
              <w:bottom w:w="0" w:type="dxa"/>
            </w:tcMar>
            <w:vAlign w:val="center"/>
          </w:tcPr>
          <w:p>
            <w:pPr>
              <w:pStyle w:val="TableContents"/>
              <w:bidi w:val="0"/>
              <w:spacing w:before="0" w:after="283"/>
              <w:jc w:val="left"/>
              <w:rPr>
                <w:sz w:val="18"/>
              </w:rPr>
            </w:pPr>
            <w:r>
              <w:rPr>
                <w:sz w:val="18"/>
              </w:rPr>
              <w:t>Copper Property CTL Pass Through Trust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sz w:val="18"/>
              </w:rPr>
            </w:pPr>
            <w:r>
              <w:rPr>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sz w:val="18"/>
              </w:rPr>
            </w:pPr>
            <w:r>
              <w:rPr>
                <w:sz w:val="18"/>
              </w:rPr>
              <w:t>Equity Certificates(13)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sz w:val="18"/>
              </w:rPr>
            </w:pPr>
            <w:r>
              <w:rPr>
                <w:sz w:val="18"/>
              </w:rPr>
              <w:t>637,795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7,200,434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7,915,036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sz w:val="18"/>
              </w:rPr>
            </w:pPr>
            <w:r>
              <w:rPr>
                <w:sz w:val="18"/>
              </w:rPr>
              <w:t>4.92</w:t>
            </w:r>
          </w:p>
        </w:tc>
        <w:tc>
          <w:tcPr>
            <w:tcW w:w="248"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9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sz w:val="18"/>
              </w:rPr>
            </w:pPr>
            <w:r>
              <w:rPr>
                <w:sz w:val="18"/>
              </w:rPr>
              <w:t>637,795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7,200,434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7,915,036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4.92</w:t>
            </w:r>
          </w:p>
        </w:tc>
        <w:tc>
          <w:tcPr>
            <w:tcW w:w="248"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3"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88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591" w:type="dxa"/>
            <w:tcBorders/>
            <w:shd w:fill="CCEEFF" w:val="clear"/>
            <w:tcMar>
              <w:bottom w:w="0" w:type="dxa"/>
            </w:tcMar>
            <w:vAlign w:val="center"/>
          </w:tcPr>
          <w:p>
            <w:pPr>
              <w:pStyle w:val="TableContents"/>
              <w:bidi w:val="0"/>
              <w:spacing w:before="0" w:after="283"/>
              <w:jc w:val="left"/>
              <w:rPr>
                <w:sz w:val="18"/>
              </w:rPr>
            </w:pPr>
            <w:r>
              <w:rPr>
                <w:sz w:val="18"/>
              </w:rPr>
              <w:t>Franklin BSP Realty Trust,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sz w:val="18"/>
              </w:rPr>
            </w:pPr>
            <w:r>
              <w:rPr>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sz w:val="18"/>
              </w:rPr>
            </w:pPr>
            <w:r>
              <w:rPr>
                <w:sz w:val="18"/>
              </w:rPr>
              <w:t>Equity - 50,000 Common Units(13)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sz w:val="18"/>
              </w:rPr>
            </w:pPr>
            <w:r>
              <w:rPr>
                <w:sz w:val="18"/>
              </w:rPr>
              <w:t>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498,155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543,000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sz w:val="18"/>
              </w:rPr>
            </w:pPr>
            <w:r>
              <w:rPr>
                <w:sz w:val="18"/>
              </w:rPr>
              <w:t>0.34</w:t>
            </w:r>
          </w:p>
        </w:tc>
        <w:tc>
          <w:tcPr>
            <w:tcW w:w="248"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9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sz w:val="18"/>
              </w:rPr>
            </w:pPr>
            <w:r>
              <w:rPr>
                <w:sz w:val="18"/>
              </w:rPr>
              <w:t>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498,155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543,000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0.34</w:t>
            </w:r>
          </w:p>
        </w:tc>
        <w:tc>
          <w:tcPr>
            <w:tcW w:w="248"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3"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88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591" w:type="dxa"/>
            <w:tcBorders/>
            <w:shd w:fill="CCEEFF" w:val="clear"/>
            <w:tcMar>
              <w:bottom w:w="0" w:type="dxa"/>
            </w:tcMar>
            <w:vAlign w:val="center"/>
          </w:tcPr>
          <w:p>
            <w:pPr>
              <w:pStyle w:val="TableContents"/>
              <w:bidi w:val="0"/>
              <w:spacing w:before="0" w:after="283"/>
              <w:jc w:val="left"/>
              <w:rPr>
                <w:sz w:val="18"/>
              </w:rPr>
            </w:pPr>
            <w:r>
              <w:rPr>
                <w:sz w:val="18"/>
              </w:rPr>
              <w:t>Innovate Corp.(11)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sz w:val="18"/>
              </w:rPr>
            </w:pPr>
            <w:r>
              <w:rPr>
                <w:sz w:val="18"/>
              </w:rPr>
              <w:t>Construction &amp; Building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sz w:val="18"/>
              </w:rPr>
            </w:pPr>
            <w:r>
              <w:rPr>
                <w:sz w:val="18"/>
              </w:rPr>
              <w:t>10.50% Senior Secured Notes(14)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sz w:val="18"/>
              </w:rPr>
            </w:pPr>
            <w:r>
              <w:rPr>
                <w:sz w:val="18"/>
              </w:rPr>
              <w:t>2/1/2027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sz w:val="18"/>
              </w:rPr>
            </w:pPr>
            <w:r>
              <w:rPr>
                <w:sz w:val="18"/>
              </w:rPr>
              <w:t>4,558,125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4,022,788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4,033,941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sz w:val="18"/>
              </w:rPr>
            </w:pPr>
            <w:r>
              <w:rPr>
                <w:sz w:val="18"/>
              </w:rPr>
              <w:t>2.51</w:t>
            </w:r>
          </w:p>
        </w:tc>
        <w:tc>
          <w:tcPr>
            <w:tcW w:w="248"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9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sz w:val="18"/>
              </w:rPr>
            </w:pPr>
            <w:r>
              <w:rPr>
                <w:sz w:val="18"/>
              </w:rPr>
              <w:t>4,558,125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4,022,788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4,033,941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2.51</w:t>
            </w:r>
          </w:p>
        </w:tc>
        <w:tc>
          <w:tcPr>
            <w:tcW w:w="248"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3"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88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591" w:type="dxa"/>
            <w:tcBorders/>
            <w:shd w:fill="CCEEFF" w:val="clear"/>
            <w:tcMar>
              <w:bottom w:w="0" w:type="dxa"/>
            </w:tcMar>
            <w:vAlign w:val="center"/>
          </w:tcPr>
          <w:p>
            <w:pPr>
              <w:pStyle w:val="TableContents"/>
              <w:bidi w:val="0"/>
              <w:spacing w:before="0" w:after="283"/>
              <w:jc w:val="left"/>
              <w:rPr>
                <w:sz w:val="18"/>
              </w:rPr>
            </w:pPr>
            <w:r>
              <w:rPr>
                <w:sz w:val="18"/>
              </w:rPr>
              <w:t>Invesco Mortgage Capital,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sz w:val="18"/>
              </w:rPr>
            </w:pPr>
            <w:r>
              <w:rPr>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sz w:val="18"/>
              </w:rPr>
            </w:pPr>
            <w:r>
              <w:rPr>
                <w:sz w:val="18"/>
              </w:rPr>
              <w:t>Equity - 180,000 Common Units(13)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sz w:val="18"/>
              </w:rPr>
            </w:pPr>
            <w:r>
              <w:rPr>
                <w:sz w:val="18"/>
              </w:rPr>
              <w:t>180,000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1,411,789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1,360,800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sz w:val="18"/>
              </w:rPr>
            </w:pPr>
            <w:r>
              <w:rPr>
                <w:sz w:val="18"/>
              </w:rPr>
              <w:t>0.85</w:t>
            </w:r>
          </w:p>
        </w:tc>
        <w:tc>
          <w:tcPr>
            <w:tcW w:w="248"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9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sz w:val="18"/>
              </w:rPr>
            </w:pPr>
            <w:r>
              <w:rPr>
                <w:sz w:val="18"/>
              </w:rPr>
              <w:t>180,000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1,411,789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1,360,800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0.85</w:t>
            </w:r>
          </w:p>
        </w:tc>
        <w:tc>
          <w:tcPr>
            <w:tcW w:w="248"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3"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88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591" w:type="dxa"/>
            <w:tcBorders/>
            <w:shd w:fill="CCEEFF" w:val="clear"/>
            <w:tcMar>
              <w:bottom w:w="0" w:type="dxa"/>
            </w:tcMar>
            <w:vAlign w:val="center"/>
          </w:tcPr>
          <w:p>
            <w:pPr>
              <w:pStyle w:val="TableContents"/>
              <w:bidi w:val="0"/>
              <w:spacing w:before="0" w:after="283"/>
              <w:jc w:val="left"/>
              <w:rPr>
                <w:sz w:val="18"/>
              </w:rPr>
            </w:pPr>
            <w:r>
              <w:rPr>
                <w:sz w:val="18"/>
              </w:rPr>
              <w:t>NGS-WCS Group Holdings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sz w:val="18"/>
              </w:rPr>
            </w:pPr>
            <w:r>
              <w:rPr>
                <w:sz w:val="18"/>
              </w:rPr>
              <w:t>Construction &amp; Building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sz w:val="18"/>
              </w:rPr>
            </w:pPr>
            <w:r>
              <w:rPr>
                <w:sz w:val="18"/>
              </w:rPr>
              <w:t>Senior Secured First Lien Term Loan B (SOFR + 4.75%, 0.50% Floor)(23)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sz w:val="18"/>
              </w:rPr>
            </w:pPr>
            <w:r>
              <w:rPr>
                <w:sz w:val="18"/>
              </w:rPr>
              <w:t>5/31/2030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sz w:val="18"/>
              </w:rPr>
            </w:pPr>
            <w:r>
              <w:rPr>
                <w:sz w:val="18"/>
              </w:rPr>
              <w:t>987,500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983,422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997,375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0.62</w:t>
            </w:r>
          </w:p>
        </w:tc>
        <w:tc>
          <w:tcPr>
            <w:tcW w:w="248"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91" w:type="dxa"/>
            <w:tcBorders/>
            <w:shd w:fill="CCEEFF" w:val="clear"/>
            <w:tcMar>
              <w:bottom w:w="0" w:type="dxa"/>
            </w:tcMar>
            <w:vAlign w:val="center"/>
          </w:tcPr>
          <w:p>
            <w:pPr>
              <w:pStyle w:val="TableContents"/>
              <w:bidi w:val="0"/>
              <w:spacing w:before="0" w:after="283"/>
              <w:jc w:val="left"/>
              <w:rPr>
                <w:sz w:val="18"/>
              </w:rPr>
            </w:pPr>
            <w:r>
              <w:rPr>
                <w:sz w:val="18"/>
              </w:rPr>
              <w:t>JFL-NGS-WCS Partners,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sz w:val="18"/>
              </w:rPr>
            </w:pPr>
            <w:r>
              <w:rPr>
                <w:sz w:val="18"/>
              </w:rPr>
              <w:t>Equity - 10,000,000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sz w:val="18"/>
              </w:rPr>
            </w:pPr>
            <w:r>
              <w:rPr>
                <w:sz w:val="18"/>
              </w:rPr>
              <w:t>10,000,000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10,000,000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13,100,000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sz w:val="18"/>
              </w:rPr>
            </w:pPr>
            <w:r>
              <w:rPr>
                <w:sz w:val="18"/>
              </w:rPr>
              <w:t>8.15</w:t>
            </w:r>
          </w:p>
        </w:tc>
        <w:tc>
          <w:tcPr>
            <w:tcW w:w="248"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9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sz w:val="18"/>
              </w:rPr>
            </w:pPr>
            <w:r>
              <w:rPr>
                <w:sz w:val="18"/>
              </w:rPr>
              <w:t>10,987,500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10,983,422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14,097,375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8.77</w:t>
            </w:r>
          </w:p>
        </w:tc>
        <w:tc>
          <w:tcPr>
            <w:tcW w:w="248"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3"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88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591" w:type="dxa"/>
            <w:tcBorders/>
            <w:shd w:fill="CCEEFF" w:val="clear"/>
            <w:tcMar>
              <w:bottom w:w="0" w:type="dxa"/>
            </w:tcMar>
            <w:vAlign w:val="center"/>
          </w:tcPr>
          <w:p>
            <w:pPr>
              <w:pStyle w:val="TableContents"/>
              <w:bidi w:val="0"/>
              <w:spacing w:before="0" w:after="283"/>
              <w:jc w:val="left"/>
              <w:rPr>
                <w:sz w:val="18"/>
              </w:rPr>
            </w:pPr>
            <w:r>
              <w:rPr>
                <w:sz w:val="18"/>
              </w:rPr>
              <w:t>Kemmerer Operations,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sz w:val="18"/>
              </w:rPr>
            </w:pPr>
            <w:r>
              <w:rPr>
                <w:sz w:val="18"/>
              </w:rPr>
              <w:t>Metals &amp; Mining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sz w:val="18"/>
              </w:rPr>
            </w:pPr>
            <w:r>
              <w:rPr>
                <w:sz w:val="18"/>
              </w:rPr>
              <w:t>Senior Secured First Lien Term Loan (SOFR + 5.00%)(24)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sz w:val="18"/>
              </w:rPr>
            </w:pPr>
            <w:r>
              <w:rPr>
                <w:sz w:val="18"/>
              </w:rPr>
              <w:t>12/31/2028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sz w:val="18"/>
              </w:rPr>
            </w:pPr>
            <w:r>
              <w:rPr>
                <w:sz w:val="18"/>
              </w:rPr>
              <w:t>8,762,782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8,762,782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8,762,782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sz w:val="18"/>
              </w:rPr>
            </w:pPr>
            <w:r>
              <w:rPr>
                <w:sz w:val="18"/>
              </w:rPr>
              <w:t>5.45</w:t>
            </w:r>
          </w:p>
        </w:tc>
        <w:tc>
          <w:tcPr>
            <w:tcW w:w="248"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9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sz w:val="18"/>
              </w:rPr>
            </w:pPr>
            <w:r>
              <w:rPr>
                <w:sz w:val="18"/>
              </w:rPr>
              <w:t>8,762,782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8,762,782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8,762,782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5.45</w:t>
            </w:r>
          </w:p>
        </w:tc>
        <w:tc>
          <w:tcPr>
            <w:tcW w:w="248"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3"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88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48" w:type="dxa"/>
            <w:tcBorders/>
            <w:tcMar>
              <w:bottom w:w="0" w:type="dxa"/>
            </w:tcMar>
            <w:vAlign w:val="center"/>
          </w:tcPr>
          <w:p>
            <w:pPr>
              <w:pStyle w:val="TableContents"/>
              <w:bidi w:val="0"/>
              <w:spacing w:before="0" w:after="283"/>
              <w:ind w:left="0" w:right="0" w:hanging="180"/>
              <w:jc w:val="left"/>
              <w:rPr/>
            </w:pPr>
            <w:r>
              <w:rPr/>
              <w:t> </w:t>
            </w:r>
          </w:p>
        </w:tc>
      </w:tr>
      <w:tr>
        <w:trPr/>
        <w:tc>
          <w:tcPr>
            <w:tcW w:w="1591" w:type="dxa"/>
            <w:tcBorders/>
            <w:shd w:fill="CCEEFF" w:val="clear"/>
            <w:tcMar>
              <w:bottom w:w="0" w:type="dxa"/>
            </w:tcMar>
            <w:vAlign w:val="center"/>
          </w:tcPr>
          <w:p>
            <w:pPr>
              <w:pStyle w:val="TableContents"/>
              <w:bidi w:val="0"/>
              <w:spacing w:before="0" w:after="283"/>
              <w:jc w:val="left"/>
              <w:rPr>
                <w:sz w:val="18"/>
              </w:rPr>
            </w:pPr>
            <w:r>
              <w:rPr>
                <w:sz w:val="18"/>
              </w:rPr>
              <w:t>Lucky Bucks, LLC (dba Arc Gaming &amp; Technologies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sz w:val="18"/>
              </w:rPr>
            </w:pPr>
            <w:r>
              <w:rPr>
                <w:sz w:val="18"/>
              </w:rPr>
              <w:t>Consumer Discretionary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sz w:val="18"/>
              </w:rPr>
            </w:pPr>
            <w:r>
              <w:rPr>
                <w:sz w:val="18"/>
              </w:rPr>
              <w:t>Priority Second Out Term Loan (SOFR + CSA + 7.50%, 5.00% PIK, 1.00% Floor)(20)(25)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sz w:val="18"/>
              </w:rPr>
            </w:pPr>
            <w:r>
              <w:rPr>
                <w:sz w:val="18"/>
              </w:rPr>
              <w:t>10/2/2029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sz w:val="18"/>
              </w:rPr>
            </w:pPr>
            <w:r>
              <w:rPr>
                <w:sz w:val="18"/>
              </w:rPr>
              <w:t>$</w:t>
            </w:r>
          </w:p>
        </w:tc>
        <w:tc>
          <w:tcPr>
            <w:tcW w:w="884" w:type="dxa"/>
            <w:tcBorders/>
            <w:shd w:fill="CCEEFF" w:val="clear"/>
            <w:tcMar>
              <w:bottom w:w="0" w:type="dxa"/>
            </w:tcMar>
            <w:vAlign w:val="center"/>
          </w:tcPr>
          <w:p>
            <w:pPr>
              <w:pStyle w:val="TableContents"/>
              <w:bidi w:val="0"/>
              <w:spacing w:before="0" w:after="283"/>
              <w:jc w:val="right"/>
              <w:rPr>
                <w:sz w:val="18"/>
              </w:rPr>
            </w:pPr>
            <w:r>
              <w:rPr>
                <w:sz w:val="18"/>
              </w:rPr>
              <w:t>2,143,683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18"/>
              </w:rPr>
            </w:pPr>
            <w:r>
              <w:rPr>
                <w:sz w:val="18"/>
              </w:rPr>
              <w:t>$</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1,998,121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18"/>
              </w:rPr>
            </w:pPr>
            <w:r>
              <w:rPr>
                <w:sz w:val="18"/>
              </w:rPr>
              <w:t>$</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1,993,625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       </w:t>
            </w:r>
            <w:r>
              <w:rPr>
                <w:sz w:val="18"/>
              </w:rPr>
              <w:t>1.24</w:t>
            </w:r>
          </w:p>
        </w:tc>
        <w:tc>
          <w:tcPr>
            <w:tcW w:w="248"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9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sz w:val="18"/>
              </w:rPr>
            </w:pPr>
            <w:r>
              <w:rPr>
                <w:sz w:val="18"/>
              </w:rPr>
              <w:t>Priority First Out Exit Term Loan (SOFR + CSA + 7.50%, 1.00% Floor)(20)(25)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sz w:val="18"/>
              </w:rPr>
            </w:pPr>
            <w:r>
              <w:rPr>
                <w:sz w:val="18"/>
              </w:rPr>
              <w:t>10/2/2028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sz w:val="18"/>
              </w:rPr>
            </w:pPr>
            <w:r>
              <w:rPr>
                <w:sz w:val="18"/>
              </w:rPr>
              <w:t>1,514,302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1,410,541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1,514,302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0.94</w:t>
            </w:r>
          </w:p>
        </w:tc>
        <w:tc>
          <w:tcPr>
            <w:tcW w:w="248"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91" w:type="dxa"/>
            <w:tcBorders/>
            <w:shd w:fill="CCEEFF" w:val="clear"/>
            <w:tcMar>
              <w:bottom w:w="0" w:type="dxa"/>
            </w:tcMar>
            <w:vAlign w:val="center"/>
          </w:tcPr>
          <w:p>
            <w:pPr>
              <w:pStyle w:val="TableContents"/>
              <w:bidi w:val="0"/>
              <w:spacing w:before="0" w:after="283"/>
              <w:jc w:val="left"/>
              <w:rPr>
                <w:sz w:val="18"/>
              </w:rPr>
            </w:pPr>
            <w:r>
              <w:rPr>
                <w:sz w:val="18"/>
              </w:rPr>
              <w:t>LB NewHoldCo,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sz w:val="18"/>
              </w:rPr>
            </w:pPr>
            <w:r>
              <w:rPr>
                <w:sz w:val="18"/>
              </w:rPr>
              <w:t>Equity - 230,739 Membership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sz w:val="18"/>
              </w:rPr>
            </w:pPr>
            <w:r>
              <w:rPr>
                <w:sz w:val="18"/>
              </w:rPr>
              <w:t>230,739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449,393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60" w:type="dxa"/>
            <w:tcBorders>
              <w:bottom w:val="single" w:sz="12" w:space="0" w:color="000000"/>
            </w:tcBorders>
            <w:shd w:fill="CCEEFF" w:val="clear"/>
            <w:vAlign w:val="center"/>
          </w:tcPr>
          <w:p>
            <w:pPr>
              <w:pStyle w:val="TableContents"/>
              <w:bidi w:val="0"/>
              <w:spacing w:before="0" w:after="283"/>
              <w:jc w:val="right"/>
              <w:rPr>
                <w:sz w:val="18"/>
              </w:rPr>
            </w:pPr>
            <w:r>
              <w:rPr>
                <w:sz w:val="18"/>
              </w:rPr>
              <w:t>994,485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sz w:val="18"/>
              </w:rPr>
            </w:pPr>
            <w:r>
              <w:rPr>
                <w:sz w:val="18"/>
              </w:rPr>
              <w:t>0.62</w:t>
            </w:r>
          </w:p>
        </w:tc>
        <w:tc>
          <w:tcPr>
            <w:tcW w:w="248"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59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sz w:val="18"/>
              </w:rPr>
            </w:pPr>
            <w:r>
              <w:rPr>
                <w:sz w:val="18"/>
              </w:rPr>
              <w:t>3,888,724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3,858,055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18"/>
              </w:rPr>
            </w:pPr>
            <w:r>
              <w:rPr>
                <w:sz w:val="18"/>
              </w:rPr>
              <w:t>4,502,412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2.80</w:t>
            </w:r>
          </w:p>
        </w:tc>
        <w:tc>
          <w:tcPr>
            <w:tcW w:w="248" w:type="dxa"/>
            <w:tcBorders/>
            <w:shd w:fill="CCEEFF" w:val="clear"/>
            <w:tcMar>
              <w:bottom w:w="0" w:type="dxa"/>
            </w:tcMar>
            <w:vAlign w:val="center"/>
          </w:tcPr>
          <w:p>
            <w:pPr>
              <w:pStyle w:val="TableContents"/>
              <w:bidi w:val="0"/>
              <w:spacing w:before="0" w:after="283"/>
              <w:jc w:val="left"/>
              <w:rPr>
                <w:sz w:val="18"/>
              </w:rPr>
            </w:pPr>
            <w:r>
              <w:rPr>
                <w:sz w:val="18"/>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45"/>
        <w:gridCol w:w="90"/>
        <w:gridCol w:w="1452"/>
        <w:gridCol w:w="90"/>
        <w:gridCol w:w="2091"/>
        <w:gridCol w:w="90"/>
        <w:gridCol w:w="765"/>
        <w:gridCol w:w="90"/>
        <w:gridCol w:w="90"/>
        <w:gridCol w:w="98"/>
        <w:gridCol w:w="844"/>
        <w:gridCol w:w="90"/>
        <w:gridCol w:w="90"/>
        <w:gridCol w:w="90"/>
        <w:gridCol w:w="778"/>
        <w:gridCol w:w="90"/>
        <w:gridCol w:w="90"/>
        <w:gridCol w:w="90"/>
        <w:gridCol w:w="770"/>
        <w:gridCol w:w="90"/>
        <w:gridCol w:w="90"/>
        <w:gridCol w:w="146"/>
        <w:gridCol w:w="596"/>
        <w:gridCol w:w="250"/>
      </w:tblGrid>
      <w:tr>
        <w:trPr/>
        <w:tc>
          <w:tcPr>
            <w:tcW w:w="1245" w:type="dxa"/>
            <w:tcBorders>
              <w:bottom w:val="single" w:sz="12" w:space="0" w:color="000000"/>
            </w:tcBorders>
            <w:vAlign w:val="center"/>
          </w:tcPr>
          <w:p>
            <w:pPr>
              <w:pStyle w:val="TableContents"/>
              <w:bidi w:val="0"/>
              <w:spacing w:before="0" w:after="283"/>
              <w:ind w:left="0" w:right="0" w:hanging="180"/>
              <w:jc w:val="left"/>
              <w:rPr>
                <w:b/>
                <w:sz w:val="18"/>
              </w:rPr>
            </w:pPr>
            <w:r>
              <w:rPr>
                <w:b/>
                <w:sz w:val="18"/>
              </w:rPr>
              <w:t>Company(1)</w:t>
            </w:r>
          </w:p>
        </w:tc>
        <w:tc>
          <w:tcPr>
            <w:tcW w:w="90" w:type="dxa"/>
            <w:tcBorders/>
            <w:tcMar>
              <w:bottom w:w="0" w:type="dxa"/>
            </w:tcMar>
            <w:vAlign w:val="center"/>
          </w:tcPr>
          <w:p>
            <w:pPr>
              <w:pStyle w:val="TableContents"/>
              <w:bidi w:val="0"/>
              <w:spacing w:before="0" w:after="283"/>
              <w:jc w:val="left"/>
              <w:rPr/>
            </w:pPr>
            <w:r>
              <w:rPr/>
              <w:t> </w:t>
            </w:r>
          </w:p>
        </w:tc>
        <w:tc>
          <w:tcPr>
            <w:tcW w:w="1452" w:type="dxa"/>
            <w:tcBorders>
              <w:bottom w:val="single" w:sz="12" w:space="0" w:color="000000"/>
            </w:tcBorders>
            <w:vAlign w:val="center"/>
          </w:tcPr>
          <w:p>
            <w:pPr>
              <w:pStyle w:val="TableContents"/>
              <w:bidi w:val="0"/>
              <w:spacing w:before="0" w:after="283"/>
              <w:jc w:val="center"/>
              <w:rPr>
                <w:b/>
                <w:sz w:val="18"/>
              </w:rPr>
            </w:pPr>
            <w:r>
              <w:rPr>
                <w:b/>
                <w:sz w:val="18"/>
              </w:rPr>
              <w:t>Industry</w:t>
            </w:r>
          </w:p>
        </w:tc>
        <w:tc>
          <w:tcPr>
            <w:tcW w:w="90" w:type="dxa"/>
            <w:tcBorders/>
            <w:tcMar>
              <w:bottom w:w="0" w:type="dxa"/>
            </w:tcMar>
            <w:vAlign w:val="center"/>
          </w:tcPr>
          <w:p>
            <w:pPr>
              <w:pStyle w:val="TableContents"/>
              <w:bidi w:val="0"/>
              <w:spacing w:before="0" w:after="283"/>
              <w:jc w:val="left"/>
              <w:rPr/>
            </w:pPr>
            <w:r>
              <w:rPr/>
              <w:t> </w:t>
            </w:r>
          </w:p>
        </w:tc>
        <w:tc>
          <w:tcPr>
            <w:tcW w:w="2091" w:type="dxa"/>
            <w:tcBorders>
              <w:bottom w:val="single" w:sz="12" w:space="0" w:color="000000"/>
            </w:tcBorders>
            <w:vAlign w:val="center"/>
          </w:tcPr>
          <w:p>
            <w:pPr>
              <w:pStyle w:val="TableContents"/>
              <w:bidi w:val="0"/>
              <w:spacing w:before="0" w:after="283"/>
              <w:jc w:val="center"/>
              <w:rPr>
                <w:b/>
                <w:sz w:val="18"/>
              </w:rPr>
            </w:pPr>
            <w:r>
              <w:rPr>
                <w:b/>
                <w:sz w:val="18"/>
              </w:rPr>
              <w:t>Type of Investment</w:t>
            </w:r>
          </w:p>
        </w:tc>
        <w:tc>
          <w:tcPr>
            <w:tcW w:w="90" w:type="dxa"/>
            <w:tcBorders/>
            <w:tcMar>
              <w:bottom w:w="0" w:type="dxa"/>
            </w:tcMar>
            <w:vAlign w:val="center"/>
          </w:tcPr>
          <w:p>
            <w:pPr>
              <w:pStyle w:val="TableContents"/>
              <w:bidi w:val="0"/>
              <w:spacing w:before="0" w:after="283"/>
              <w:jc w:val="left"/>
              <w:rPr/>
            </w:pPr>
            <w:r>
              <w:rPr/>
              <w:t> </w:t>
            </w:r>
          </w:p>
        </w:tc>
        <w:tc>
          <w:tcPr>
            <w:tcW w:w="765" w:type="dxa"/>
            <w:tcBorders>
              <w:bottom w:val="single" w:sz="12" w:space="0" w:color="000000"/>
            </w:tcBorders>
            <w:vAlign w:val="center"/>
          </w:tcPr>
          <w:p>
            <w:pPr>
              <w:pStyle w:val="TableContents"/>
              <w:bidi w:val="0"/>
              <w:spacing w:before="0" w:after="283"/>
              <w:jc w:val="center"/>
              <w:rPr>
                <w:b/>
                <w:sz w:val="18"/>
              </w:rPr>
            </w:pPr>
            <w:r>
              <w:rPr>
                <w:b/>
                <w:sz w:val="18"/>
              </w:rPr>
              <w:t>Maturity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42" w:type="dxa"/>
            <w:gridSpan w:val="2"/>
            <w:tcBorders>
              <w:bottom w:val="single" w:sz="12" w:space="0" w:color="000000"/>
            </w:tcBorders>
            <w:vAlign w:val="center"/>
          </w:tcPr>
          <w:p>
            <w:pPr>
              <w:pStyle w:val="TableContents"/>
              <w:bidi w:val="0"/>
              <w:spacing w:before="0" w:after="283"/>
              <w:jc w:val="center"/>
              <w:rPr>
                <w:b/>
                <w:sz w:val="18"/>
              </w:rPr>
            </w:pPr>
            <w:r>
              <w:rPr>
                <w:b/>
                <w:sz w:val="18"/>
              </w:rPr>
              <w:t>Par Amount/</w:t>
              <w:br/>
              <w:t>Shares/Units(2)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8" w:type="dxa"/>
            <w:gridSpan w:val="2"/>
            <w:tcBorders>
              <w:bottom w:val="single" w:sz="12" w:space="0" w:color="000000"/>
            </w:tcBorders>
            <w:vAlign w:val="center"/>
          </w:tcPr>
          <w:p>
            <w:pPr>
              <w:pStyle w:val="TableContents"/>
              <w:bidi w:val="0"/>
              <w:spacing w:before="0" w:after="283"/>
              <w:jc w:val="center"/>
              <w:rPr>
                <w:b/>
                <w:sz w:val="18"/>
              </w:rPr>
            </w:pPr>
            <w:r>
              <w:rPr>
                <w:b/>
                <w:sz w:val="18"/>
              </w:rPr>
              <w:t xml:space="preserve">Amortized </w:t>
              <w:br/>
              <w:t>Cost(3)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sz w:val="18"/>
              </w:rPr>
            </w:pPr>
            <w:r>
              <w:rPr>
                <w:b/>
                <w:sz w:val="18"/>
              </w:rPr>
              <w:t xml:space="preserve">Fair </w:t>
              <w:br/>
              <w:t>Value(4)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42" w:type="dxa"/>
            <w:gridSpan w:val="2"/>
            <w:tcBorders>
              <w:bottom w:val="single" w:sz="12" w:space="0" w:color="000000"/>
            </w:tcBorders>
            <w:vAlign w:val="center"/>
          </w:tcPr>
          <w:p>
            <w:pPr>
              <w:pStyle w:val="TableContents"/>
              <w:bidi w:val="0"/>
              <w:spacing w:before="0" w:after="283"/>
              <w:jc w:val="center"/>
              <w:rPr>
                <w:b/>
                <w:sz w:val="18"/>
              </w:rPr>
            </w:pPr>
            <w:r>
              <w:rPr>
                <w:b/>
                <w:sz w:val="18"/>
              </w:rPr>
              <w:t>% of Net</w:t>
              <w:br/>
              <w:t>Assets(5)</w:t>
            </w:r>
          </w:p>
        </w:tc>
        <w:tc>
          <w:tcPr>
            <w:tcW w:w="250" w:type="dxa"/>
            <w:tcBorders/>
            <w:tcMar>
              <w:bottom w:w="0" w:type="dxa"/>
            </w:tcMar>
            <w:vAlign w:val="center"/>
          </w:tcPr>
          <w:p>
            <w:pPr>
              <w:pStyle w:val="TableContents"/>
              <w:bidi w:val="0"/>
              <w:spacing w:before="0" w:after="283"/>
              <w:ind w:left="0" w:right="0" w:hanging="180"/>
              <w:jc w:val="left"/>
              <w:rPr/>
            </w:pPr>
            <w:r>
              <w:rPr/>
              <w:t> </w:t>
            </w:r>
          </w:p>
        </w:tc>
      </w:tr>
      <w:tr>
        <w:trPr/>
        <w:tc>
          <w:tcPr>
            <w:tcW w:w="1245" w:type="dxa"/>
            <w:tcBorders/>
            <w:shd w:fill="CCEEFF" w:val="clear"/>
            <w:tcMar>
              <w:bottom w:w="0" w:type="dxa"/>
            </w:tcMar>
            <w:vAlign w:val="center"/>
          </w:tcPr>
          <w:p>
            <w:pPr>
              <w:pStyle w:val="TableContents"/>
              <w:bidi w:val="0"/>
              <w:spacing w:before="0" w:after="283"/>
              <w:jc w:val="left"/>
              <w:rPr>
                <w:sz w:val="18"/>
              </w:rPr>
            </w:pPr>
            <w:r>
              <w:rPr>
                <w:sz w:val="18"/>
              </w:rPr>
              <w:t>MFA Financial,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sz w:val="18"/>
              </w:rPr>
            </w:pPr>
            <w:r>
              <w:rPr>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sz w:val="18"/>
              </w:rPr>
            </w:pPr>
            <w:r>
              <w:rPr>
                <w:sz w:val="18"/>
              </w:rPr>
              <w:t>Equity - 114,695 Class C Preferred Units(13)(24)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sz w:val="18"/>
              </w:rPr>
            </w:pPr>
            <w:r>
              <w:rPr>
                <w:sz w:val="18"/>
              </w:rPr>
              <w:t>114,695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8" w:type="dxa"/>
            <w:tcBorders/>
            <w:shd w:fill="CCEEFF" w:val="clear"/>
            <w:tcMar>
              <w:bottom w:w="0" w:type="dxa"/>
            </w:tcMar>
            <w:vAlign w:val="center"/>
          </w:tcPr>
          <w:p>
            <w:pPr>
              <w:pStyle w:val="TableContents"/>
              <w:bidi w:val="0"/>
              <w:spacing w:before="0" w:after="283"/>
              <w:jc w:val="right"/>
              <w:rPr>
                <w:sz w:val="18"/>
              </w:rPr>
            </w:pPr>
            <w:r>
              <w:rPr>
                <w:sz w:val="18"/>
              </w:rPr>
              <w:t>2,800,579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sz w:val="18"/>
              </w:rPr>
            </w:pPr>
            <w:r>
              <w:rPr>
                <w:sz w:val="18"/>
              </w:rPr>
              <w:t>2,737,770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1.70</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sz w:val="18"/>
              </w:rPr>
            </w:pPr>
            <w:r>
              <w:rPr>
                <w:sz w:val="18"/>
              </w:rPr>
              <w:t>Equity - 70,000 Common Units(13)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844" w:type="dxa"/>
            <w:tcBorders>
              <w:bottom w:val="single" w:sz="12" w:space="0" w:color="000000"/>
            </w:tcBorders>
            <w:shd w:fill="CCEEFF" w:val="clear"/>
            <w:vAlign w:val="center"/>
          </w:tcPr>
          <w:p>
            <w:pPr>
              <w:pStyle w:val="TableContents"/>
              <w:bidi w:val="0"/>
              <w:spacing w:before="0" w:after="283"/>
              <w:jc w:val="right"/>
              <w:rPr>
                <w:sz w:val="18"/>
              </w:rPr>
            </w:pPr>
            <w:r>
              <w:rPr>
                <w:sz w:val="18"/>
              </w:rPr>
              <w:t>70,000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78" w:type="dxa"/>
            <w:tcBorders>
              <w:bottom w:val="single" w:sz="12" w:space="0" w:color="000000"/>
            </w:tcBorders>
            <w:shd w:fill="CCEEFF" w:val="clear"/>
            <w:vAlign w:val="center"/>
          </w:tcPr>
          <w:p>
            <w:pPr>
              <w:pStyle w:val="TableContents"/>
              <w:bidi w:val="0"/>
              <w:spacing w:before="0" w:after="283"/>
              <w:jc w:val="right"/>
              <w:rPr>
                <w:sz w:val="18"/>
              </w:rPr>
            </w:pPr>
            <w:r>
              <w:rPr>
                <w:sz w:val="18"/>
              </w:rPr>
              <w:t>714,994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sz w:val="18"/>
              </w:rPr>
            </w:pPr>
            <w:r>
              <w:rPr>
                <w:sz w:val="18"/>
              </w:rPr>
              <w:t>643,300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6" w:type="dxa"/>
            <w:tcBorders>
              <w:bottom w:val="single" w:sz="12" w:space="0" w:color="000000"/>
            </w:tcBorders>
            <w:shd w:fill="CCEEFF" w:val="clear"/>
            <w:vAlign w:val="center"/>
          </w:tcPr>
          <w:p>
            <w:pPr>
              <w:pStyle w:val="TableContents"/>
              <w:bidi w:val="0"/>
              <w:spacing w:before="0" w:after="283"/>
              <w:jc w:val="right"/>
              <w:rPr>
                <w:sz w:val="18"/>
              </w:rPr>
            </w:pPr>
            <w:r>
              <w:rPr>
                <w:sz w:val="18"/>
              </w:rPr>
              <w:t>0.40</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sz w:val="18"/>
              </w:rPr>
            </w:pPr>
            <w:r>
              <w:rPr>
                <w:sz w:val="18"/>
              </w:rPr>
              <w:t>184,695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8" w:type="dxa"/>
            <w:tcBorders/>
            <w:shd w:fill="CCEEFF" w:val="clear"/>
            <w:tcMar>
              <w:bottom w:w="0" w:type="dxa"/>
            </w:tcMar>
            <w:vAlign w:val="center"/>
          </w:tcPr>
          <w:p>
            <w:pPr>
              <w:pStyle w:val="TableContents"/>
              <w:bidi w:val="0"/>
              <w:spacing w:before="0" w:after="283"/>
              <w:jc w:val="right"/>
              <w:rPr>
                <w:sz w:val="18"/>
              </w:rPr>
            </w:pPr>
            <w:r>
              <w:rPr>
                <w:sz w:val="18"/>
              </w:rPr>
              <w:t>3,515,573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sz w:val="18"/>
              </w:rPr>
            </w:pPr>
            <w:r>
              <w:rPr>
                <w:sz w:val="18"/>
              </w:rPr>
              <w:t>3,381,070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2.10</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8"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6" w:type="dxa"/>
            <w:tcBorders/>
            <w:tcMar>
              <w:bottom w:w="0" w:type="dxa"/>
            </w:tcMar>
            <w:vAlign w:val="center"/>
          </w:tcPr>
          <w:p>
            <w:pPr>
              <w:pStyle w:val="TableContents"/>
              <w:bidi w:val="0"/>
              <w:spacing w:before="0" w:after="283"/>
              <w:jc w:val="right"/>
              <w:rPr/>
            </w:pPr>
            <w:r>
              <w:rPr/>
              <w:t> </w:t>
            </w:r>
          </w:p>
        </w:tc>
        <w:tc>
          <w:tcPr>
            <w:tcW w:w="250" w:type="dxa"/>
            <w:tcBorders/>
            <w:tcMar>
              <w:bottom w:w="0" w:type="dxa"/>
            </w:tcMar>
            <w:vAlign w:val="center"/>
          </w:tcPr>
          <w:p>
            <w:pPr>
              <w:pStyle w:val="TableContents"/>
              <w:bidi w:val="0"/>
              <w:spacing w:before="0" w:after="283"/>
              <w:ind w:left="0" w:right="0" w:hanging="180"/>
              <w:jc w:val="left"/>
              <w:rPr/>
            </w:pPr>
            <w:r>
              <w:rPr/>
              <w:t> </w:t>
            </w:r>
          </w:p>
        </w:tc>
      </w:tr>
      <w:tr>
        <w:trPr/>
        <w:tc>
          <w:tcPr>
            <w:tcW w:w="1245" w:type="dxa"/>
            <w:tcBorders/>
            <w:shd w:fill="CCEEFF" w:val="clear"/>
            <w:tcMar>
              <w:bottom w:w="0" w:type="dxa"/>
            </w:tcMar>
            <w:vAlign w:val="center"/>
          </w:tcPr>
          <w:p>
            <w:pPr>
              <w:pStyle w:val="TableContents"/>
              <w:bidi w:val="0"/>
              <w:spacing w:before="0" w:after="283"/>
              <w:jc w:val="left"/>
              <w:rPr>
                <w:sz w:val="18"/>
              </w:rPr>
            </w:pPr>
            <w:r>
              <w:rPr>
                <w:sz w:val="18"/>
              </w:rPr>
              <w:t>Neptune Bidco US, Inc. (dba Nielsen)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sz w:val="18"/>
              </w:rPr>
            </w:pPr>
            <w:r>
              <w:rPr>
                <w:sz w:val="18"/>
              </w:rPr>
              <w:t>Media: Broadcasting &amp; Subscription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sz w:val="18"/>
              </w:rPr>
            </w:pPr>
            <w:r>
              <w:rPr>
                <w:sz w:val="18"/>
              </w:rPr>
              <w:t>First Lien Term Loan (SOFR + CSA + 5.00%, 0.50% Floor)(14)(20)(24)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sz w:val="18"/>
              </w:rPr>
            </w:pPr>
            <w:r>
              <w:rPr>
                <w:sz w:val="18"/>
              </w:rPr>
              <w:t>4/11/2029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sz w:val="18"/>
              </w:rPr>
            </w:pPr>
            <w:r>
              <w:rPr>
                <w:sz w:val="18"/>
              </w:rPr>
              <w:t>2,967,133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8" w:type="dxa"/>
            <w:tcBorders/>
            <w:shd w:fill="CCEEFF" w:val="clear"/>
            <w:tcMar>
              <w:bottom w:w="0" w:type="dxa"/>
            </w:tcMar>
            <w:vAlign w:val="center"/>
          </w:tcPr>
          <w:p>
            <w:pPr>
              <w:pStyle w:val="TableContents"/>
              <w:bidi w:val="0"/>
              <w:spacing w:before="0" w:after="283"/>
              <w:jc w:val="right"/>
              <w:rPr>
                <w:sz w:val="18"/>
              </w:rPr>
            </w:pPr>
            <w:r>
              <w:rPr>
                <w:sz w:val="18"/>
              </w:rPr>
              <w:t>2,786,574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sz w:val="18"/>
              </w:rPr>
            </w:pPr>
            <w:r>
              <w:rPr>
                <w:sz w:val="18"/>
              </w:rPr>
              <w:t>2,822,486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1.76</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sz w:val="18"/>
              </w:rPr>
            </w:pPr>
            <w:r>
              <w:rPr>
                <w:sz w:val="18"/>
              </w:rPr>
              <w:t>9.29% Senior Secured Note(14)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sz w:val="18"/>
              </w:rPr>
            </w:pPr>
            <w:r>
              <w:rPr>
                <w:sz w:val="18"/>
              </w:rPr>
              <w:t>4/15/2029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844" w:type="dxa"/>
            <w:tcBorders>
              <w:bottom w:val="single" w:sz="12" w:space="0" w:color="000000"/>
            </w:tcBorders>
            <w:shd w:fill="CCEEFF" w:val="clear"/>
            <w:vAlign w:val="center"/>
          </w:tcPr>
          <w:p>
            <w:pPr>
              <w:pStyle w:val="TableContents"/>
              <w:bidi w:val="0"/>
              <w:spacing w:before="0" w:after="283"/>
              <w:jc w:val="right"/>
              <w:rPr>
                <w:sz w:val="18"/>
              </w:rPr>
            </w:pPr>
            <w:r>
              <w:rPr>
                <w:sz w:val="18"/>
              </w:rPr>
              <w:t>4,000,000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78" w:type="dxa"/>
            <w:tcBorders>
              <w:bottom w:val="single" w:sz="12" w:space="0" w:color="000000"/>
            </w:tcBorders>
            <w:shd w:fill="CCEEFF" w:val="clear"/>
            <w:vAlign w:val="center"/>
          </w:tcPr>
          <w:p>
            <w:pPr>
              <w:pStyle w:val="TableContents"/>
              <w:bidi w:val="0"/>
              <w:spacing w:before="0" w:after="283"/>
              <w:jc w:val="right"/>
              <w:rPr>
                <w:sz w:val="18"/>
              </w:rPr>
            </w:pPr>
            <w:r>
              <w:rPr>
                <w:sz w:val="18"/>
              </w:rPr>
              <w:t>3,676,250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sz w:val="18"/>
              </w:rPr>
            </w:pPr>
            <w:r>
              <w:rPr>
                <w:sz w:val="18"/>
              </w:rPr>
              <w:t>3,910,000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6" w:type="dxa"/>
            <w:tcBorders>
              <w:bottom w:val="single" w:sz="12" w:space="0" w:color="000000"/>
            </w:tcBorders>
            <w:shd w:fill="CCEEFF" w:val="clear"/>
            <w:vAlign w:val="center"/>
          </w:tcPr>
          <w:p>
            <w:pPr>
              <w:pStyle w:val="TableContents"/>
              <w:bidi w:val="0"/>
              <w:spacing w:before="0" w:after="283"/>
              <w:jc w:val="right"/>
              <w:rPr>
                <w:sz w:val="18"/>
              </w:rPr>
            </w:pPr>
            <w:r>
              <w:rPr>
                <w:sz w:val="18"/>
              </w:rPr>
              <w:t>2.43</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sz w:val="18"/>
              </w:rPr>
            </w:pPr>
            <w:r>
              <w:rPr>
                <w:sz w:val="18"/>
              </w:rPr>
              <w:t>6,967,133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8" w:type="dxa"/>
            <w:tcBorders/>
            <w:shd w:fill="CCEEFF" w:val="clear"/>
            <w:tcMar>
              <w:bottom w:w="0" w:type="dxa"/>
            </w:tcMar>
            <w:vAlign w:val="center"/>
          </w:tcPr>
          <w:p>
            <w:pPr>
              <w:pStyle w:val="TableContents"/>
              <w:bidi w:val="0"/>
              <w:spacing w:before="0" w:after="283"/>
              <w:jc w:val="right"/>
              <w:rPr>
                <w:sz w:val="18"/>
              </w:rPr>
            </w:pPr>
            <w:r>
              <w:rPr>
                <w:sz w:val="18"/>
              </w:rPr>
              <w:t>6,462,824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sz w:val="18"/>
              </w:rPr>
            </w:pPr>
            <w:r>
              <w:rPr>
                <w:sz w:val="18"/>
              </w:rPr>
              <w:t>6,732,486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4.19</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8"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6" w:type="dxa"/>
            <w:tcBorders/>
            <w:tcMar>
              <w:bottom w:w="0" w:type="dxa"/>
            </w:tcMar>
            <w:vAlign w:val="center"/>
          </w:tcPr>
          <w:p>
            <w:pPr>
              <w:pStyle w:val="TableContents"/>
              <w:bidi w:val="0"/>
              <w:spacing w:before="0" w:after="283"/>
              <w:jc w:val="right"/>
              <w:rPr/>
            </w:pPr>
            <w:r>
              <w:rPr/>
              <w:t> </w:t>
            </w:r>
          </w:p>
        </w:tc>
        <w:tc>
          <w:tcPr>
            <w:tcW w:w="250" w:type="dxa"/>
            <w:tcBorders/>
            <w:tcMar>
              <w:bottom w:w="0" w:type="dxa"/>
            </w:tcMar>
            <w:vAlign w:val="center"/>
          </w:tcPr>
          <w:p>
            <w:pPr>
              <w:pStyle w:val="TableContents"/>
              <w:bidi w:val="0"/>
              <w:spacing w:before="0" w:after="283"/>
              <w:ind w:left="0" w:right="0" w:hanging="180"/>
              <w:jc w:val="left"/>
              <w:rPr/>
            </w:pPr>
            <w:r>
              <w:rPr/>
              <w:t> </w:t>
            </w:r>
          </w:p>
        </w:tc>
      </w:tr>
      <w:tr>
        <w:trPr/>
        <w:tc>
          <w:tcPr>
            <w:tcW w:w="1245" w:type="dxa"/>
            <w:tcBorders/>
            <w:shd w:fill="CCEEFF" w:val="clear"/>
            <w:tcMar>
              <w:bottom w:w="0" w:type="dxa"/>
            </w:tcMar>
            <w:vAlign w:val="center"/>
          </w:tcPr>
          <w:p>
            <w:pPr>
              <w:pStyle w:val="TableContents"/>
              <w:bidi w:val="0"/>
              <w:spacing w:before="0" w:after="283"/>
              <w:jc w:val="left"/>
              <w:rPr>
                <w:sz w:val="18"/>
              </w:rPr>
            </w:pPr>
            <w:r>
              <w:rPr>
                <w:sz w:val="18"/>
              </w:rPr>
              <w:t>Onity Group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sz w:val="18"/>
              </w:rPr>
            </w:pPr>
            <w:r>
              <w:rPr>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sz w:val="18"/>
              </w:rPr>
            </w:pPr>
            <w:r>
              <w:rPr>
                <w:sz w:val="18"/>
              </w:rPr>
              <w:t>Equity - 200,000 Preferred Units(28)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844" w:type="dxa"/>
            <w:tcBorders>
              <w:bottom w:val="single" w:sz="12" w:space="0" w:color="000000"/>
            </w:tcBorders>
            <w:shd w:fill="CCEEFF" w:val="clear"/>
            <w:vAlign w:val="center"/>
          </w:tcPr>
          <w:p>
            <w:pPr>
              <w:pStyle w:val="TableContents"/>
              <w:bidi w:val="0"/>
              <w:spacing w:before="0" w:after="283"/>
              <w:jc w:val="right"/>
              <w:rPr>
                <w:sz w:val="18"/>
              </w:rPr>
            </w:pPr>
            <w:r>
              <w:rPr>
                <w:sz w:val="18"/>
              </w:rPr>
              <w:t>200,000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78" w:type="dxa"/>
            <w:tcBorders>
              <w:bottom w:val="single" w:sz="12" w:space="0" w:color="000000"/>
            </w:tcBorders>
            <w:shd w:fill="CCEEFF" w:val="clear"/>
            <w:vAlign w:val="center"/>
          </w:tcPr>
          <w:p>
            <w:pPr>
              <w:pStyle w:val="TableContents"/>
              <w:bidi w:val="0"/>
              <w:spacing w:before="0" w:after="283"/>
              <w:jc w:val="right"/>
              <w:rPr>
                <w:sz w:val="18"/>
              </w:rPr>
            </w:pPr>
            <w:r>
              <w:rPr>
                <w:sz w:val="18"/>
              </w:rPr>
              <w:t>3,925,000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sz w:val="18"/>
              </w:rPr>
            </w:pPr>
            <w:r>
              <w:rPr>
                <w:sz w:val="18"/>
              </w:rPr>
              <w:t>3,948,000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6" w:type="dxa"/>
            <w:tcBorders>
              <w:bottom w:val="single" w:sz="12" w:space="0" w:color="000000"/>
            </w:tcBorders>
            <w:shd w:fill="CCEEFF" w:val="clear"/>
            <w:vAlign w:val="center"/>
          </w:tcPr>
          <w:p>
            <w:pPr>
              <w:pStyle w:val="TableContents"/>
              <w:bidi w:val="0"/>
              <w:spacing w:before="0" w:after="283"/>
              <w:jc w:val="right"/>
              <w:rPr>
                <w:sz w:val="18"/>
              </w:rPr>
            </w:pPr>
            <w:r>
              <w:rPr>
                <w:sz w:val="18"/>
              </w:rPr>
              <w:t>2.46</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sz w:val="18"/>
              </w:rPr>
            </w:pPr>
            <w:r>
              <w:rPr>
                <w:sz w:val="18"/>
              </w:rPr>
              <w:t>200,000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8" w:type="dxa"/>
            <w:tcBorders/>
            <w:shd w:fill="CCEEFF" w:val="clear"/>
            <w:tcMar>
              <w:bottom w:w="0" w:type="dxa"/>
            </w:tcMar>
            <w:vAlign w:val="center"/>
          </w:tcPr>
          <w:p>
            <w:pPr>
              <w:pStyle w:val="TableContents"/>
              <w:bidi w:val="0"/>
              <w:spacing w:before="0" w:after="283"/>
              <w:jc w:val="right"/>
              <w:rPr>
                <w:sz w:val="18"/>
              </w:rPr>
            </w:pPr>
            <w:r>
              <w:rPr>
                <w:sz w:val="18"/>
              </w:rPr>
              <w:t>3,925,000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sz w:val="18"/>
              </w:rPr>
            </w:pPr>
            <w:r>
              <w:rPr>
                <w:sz w:val="18"/>
              </w:rPr>
              <w:t>3,948,000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2.46</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8"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6" w:type="dxa"/>
            <w:tcBorders/>
            <w:tcMar>
              <w:bottom w:w="0" w:type="dxa"/>
            </w:tcMar>
            <w:vAlign w:val="center"/>
          </w:tcPr>
          <w:p>
            <w:pPr>
              <w:pStyle w:val="TableContents"/>
              <w:bidi w:val="0"/>
              <w:spacing w:before="0" w:after="283"/>
              <w:jc w:val="right"/>
              <w:rPr/>
            </w:pPr>
            <w:r>
              <w:rPr/>
              <w:t> </w:t>
            </w:r>
          </w:p>
        </w:tc>
        <w:tc>
          <w:tcPr>
            <w:tcW w:w="250" w:type="dxa"/>
            <w:tcBorders/>
            <w:tcMar>
              <w:bottom w:w="0" w:type="dxa"/>
            </w:tcMar>
            <w:vAlign w:val="center"/>
          </w:tcPr>
          <w:p>
            <w:pPr>
              <w:pStyle w:val="TableContents"/>
              <w:bidi w:val="0"/>
              <w:spacing w:before="0" w:after="283"/>
              <w:ind w:left="0" w:right="0" w:hanging="180"/>
              <w:jc w:val="left"/>
              <w:rPr/>
            </w:pPr>
            <w:r>
              <w:rPr/>
              <w:t> </w:t>
            </w:r>
          </w:p>
        </w:tc>
      </w:tr>
      <w:tr>
        <w:trPr/>
        <w:tc>
          <w:tcPr>
            <w:tcW w:w="1245" w:type="dxa"/>
            <w:tcBorders/>
            <w:shd w:fill="CCEEFF" w:val="clear"/>
            <w:tcMar>
              <w:bottom w:w="0" w:type="dxa"/>
            </w:tcMar>
            <w:vAlign w:val="center"/>
          </w:tcPr>
          <w:p>
            <w:pPr>
              <w:pStyle w:val="TableContents"/>
              <w:bidi w:val="0"/>
              <w:spacing w:before="0" w:after="283"/>
              <w:jc w:val="left"/>
              <w:rPr>
                <w:sz w:val="18"/>
              </w:rPr>
            </w:pPr>
            <w:r>
              <w:rPr>
                <w:sz w:val="18"/>
              </w:rPr>
              <w:t>PHH Mortgage Corp.</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sz w:val="18"/>
              </w:rPr>
            </w:pPr>
            <w:r>
              <w:rPr>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sz w:val="18"/>
              </w:rPr>
            </w:pPr>
            <w:r>
              <w:rPr>
                <w:sz w:val="18"/>
              </w:rPr>
              <w:t>9.875% Senior Secured Note(14)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sz w:val="18"/>
              </w:rPr>
            </w:pPr>
            <w:r>
              <w:rPr>
                <w:sz w:val="18"/>
              </w:rPr>
              <w:t>11/1/2029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844" w:type="dxa"/>
            <w:tcBorders>
              <w:bottom w:val="single" w:sz="12" w:space="0" w:color="000000"/>
            </w:tcBorders>
            <w:shd w:fill="CCEEFF" w:val="clear"/>
            <w:vAlign w:val="center"/>
          </w:tcPr>
          <w:p>
            <w:pPr>
              <w:pStyle w:val="TableContents"/>
              <w:bidi w:val="0"/>
              <w:spacing w:before="0" w:after="283"/>
              <w:jc w:val="right"/>
              <w:rPr>
                <w:sz w:val="18"/>
              </w:rPr>
            </w:pPr>
            <w:r>
              <w:rPr>
                <w:sz w:val="18"/>
              </w:rPr>
              <w:t>2,500,000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78" w:type="dxa"/>
            <w:tcBorders>
              <w:bottom w:val="single" w:sz="12" w:space="0" w:color="000000"/>
            </w:tcBorders>
            <w:shd w:fill="CCEEFF" w:val="clear"/>
            <w:vAlign w:val="center"/>
          </w:tcPr>
          <w:p>
            <w:pPr>
              <w:pStyle w:val="TableContents"/>
              <w:bidi w:val="0"/>
              <w:spacing w:before="0" w:after="283"/>
              <w:jc w:val="right"/>
              <w:rPr>
                <w:sz w:val="18"/>
              </w:rPr>
            </w:pPr>
            <w:r>
              <w:rPr>
                <w:sz w:val="18"/>
              </w:rPr>
              <w:t>2,343,050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sz w:val="18"/>
              </w:rPr>
            </w:pPr>
            <w:r>
              <w:rPr>
                <w:sz w:val="18"/>
              </w:rPr>
              <w:t>2,515,625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6" w:type="dxa"/>
            <w:tcBorders>
              <w:bottom w:val="single" w:sz="12" w:space="0" w:color="000000"/>
            </w:tcBorders>
            <w:shd w:fill="CCEEFF" w:val="clear"/>
            <w:vAlign w:val="center"/>
          </w:tcPr>
          <w:p>
            <w:pPr>
              <w:pStyle w:val="TableContents"/>
              <w:bidi w:val="0"/>
              <w:spacing w:before="0" w:after="283"/>
              <w:jc w:val="right"/>
              <w:rPr>
                <w:sz w:val="18"/>
              </w:rPr>
            </w:pPr>
            <w:r>
              <w:rPr>
                <w:sz w:val="18"/>
              </w:rPr>
              <w:t>1.56</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sz w:val="18"/>
              </w:rPr>
            </w:pPr>
            <w:r>
              <w:rPr>
                <w:sz w:val="18"/>
              </w:rPr>
              <w:t>2,500,000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8" w:type="dxa"/>
            <w:tcBorders/>
            <w:shd w:fill="CCEEFF" w:val="clear"/>
            <w:tcMar>
              <w:bottom w:w="0" w:type="dxa"/>
            </w:tcMar>
            <w:vAlign w:val="center"/>
          </w:tcPr>
          <w:p>
            <w:pPr>
              <w:pStyle w:val="TableContents"/>
              <w:bidi w:val="0"/>
              <w:spacing w:before="0" w:after="283"/>
              <w:jc w:val="right"/>
              <w:rPr>
                <w:sz w:val="18"/>
              </w:rPr>
            </w:pPr>
            <w:r>
              <w:rPr>
                <w:sz w:val="18"/>
              </w:rPr>
              <w:t>2,343,050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sz w:val="18"/>
              </w:rPr>
            </w:pPr>
            <w:r>
              <w:rPr>
                <w:sz w:val="18"/>
              </w:rPr>
              <w:t>2,515,625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1.56</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8"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6" w:type="dxa"/>
            <w:tcBorders/>
            <w:tcMar>
              <w:bottom w:w="0" w:type="dxa"/>
            </w:tcMar>
            <w:vAlign w:val="center"/>
          </w:tcPr>
          <w:p>
            <w:pPr>
              <w:pStyle w:val="TableContents"/>
              <w:bidi w:val="0"/>
              <w:spacing w:before="0" w:after="283"/>
              <w:jc w:val="right"/>
              <w:rPr/>
            </w:pPr>
            <w:r>
              <w:rPr/>
              <w:t> </w:t>
            </w:r>
          </w:p>
        </w:tc>
        <w:tc>
          <w:tcPr>
            <w:tcW w:w="250" w:type="dxa"/>
            <w:tcBorders/>
            <w:tcMar>
              <w:bottom w:w="0" w:type="dxa"/>
            </w:tcMar>
            <w:vAlign w:val="center"/>
          </w:tcPr>
          <w:p>
            <w:pPr>
              <w:pStyle w:val="TableContents"/>
              <w:bidi w:val="0"/>
              <w:spacing w:before="0" w:after="283"/>
              <w:ind w:left="0" w:right="0" w:hanging="180"/>
              <w:jc w:val="left"/>
              <w:rPr/>
            </w:pPr>
            <w:r>
              <w:rPr/>
              <w:t> </w:t>
            </w:r>
          </w:p>
        </w:tc>
      </w:tr>
      <w:tr>
        <w:trPr/>
        <w:tc>
          <w:tcPr>
            <w:tcW w:w="1245" w:type="dxa"/>
            <w:tcBorders/>
            <w:shd w:fill="CCEEFF" w:val="clear"/>
            <w:tcMar>
              <w:bottom w:w="0" w:type="dxa"/>
            </w:tcMar>
            <w:vAlign w:val="center"/>
          </w:tcPr>
          <w:p>
            <w:pPr>
              <w:pStyle w:val="TableContents"/>
              <w:bidi w:val="0"/>
              <w:spacing w:before="0" w:after="283"/>
              <w:jc w:val="left"/>
              <w:rPr>
                <w:sz w:val="18"/>
              </w:rPr>
            </w:pPr>
            <w:r>
              <w:rPr>
                <w:sz w:val="18"/>
              </w:rPr>
              <w:t>Power Stop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sz w:val="18"/>
              </w:rPr>
            </w:pPr>
            <w:r>
              <w:rPr>
                <w:sz w:val="18"/>
              </w:rPr>
              <w:t>Automotive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sz w:val="18"/>
              </w:rPr>
            </w:pPr>
            <w:r>
              <w:rPr>
                <w:sz w:val="18"/>
              </w:rPr>
              <w:t>Senior Secured First Lien Term Loan (SOFR + CSA + 4.75%, 0.50% Floor)(14)(20)(24)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sz w:val="18"/>
              </w:rPr>
            </w:pPr>
            <w:r>
              <w:rPr>
                <w:sz w:val="18"/>
              </w:rPr>
              <w:t>1/26/2029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844" w:type="dxa"/>
            <w:tcBorders>
              <w:bottom w:val="single" w:sz="12" w:space="0" w:color="000000"/>
            </w:tcBorders>
            <w:shd w:fill="CCEEFF" w:val="clear"/>
            <w:vAlign w:val="center"/>
          </w:tcPr>
          <w:p>
            <w:pPr>
              <w:pStyle w:val="TableContents"/>
              <w:bidi w:val="0"/>
              <w:spacing w:before="0" w:after="283"/>
              <w:jc w:val="right"/>
              <w:rPr>
                <w:sz w:val="18"/>
              </w:rPr>
            </w:pPr>
            <w:r>
              <w:rPr>
                <w:sz w:val="18"/>
              </w:rPr>
              <w:t>9,704,216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78" w:type="dxa"/>
            <w:tcBorders>
              <w:bottom w:val="single" w:sz="12" w:space="0" w:color="000000"/>
            </w:tcBorders>
            <w:shd w:fill="CCEEFF" w:val="clear"/>
            <w:vAlign w:val="center"/>
          </w:tcPr>
          <w:p>
            <w:pPr>
              <w:pStyle w:val="TableContents"/>
              <w:bidi w:val="0"/>
              <w:spacing w:before="0" w:after="283"/>
              <w:jc w:val="right"/>
              <w:rPr>
                <w:sz w:val="18"/>
              </w:rPr>
            </w:pPr>
            <w:r>
              <w:rPr>
                <w:sz w:val="18"/>
              </w:rPr>
              <w:t>8,504,727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sz w:val="18"/>
              </w:rPr>
            </w:pPr>
            <w:r>
              <w:rPr>
                <w:sz w:val="18"/>
              </w:rPr>
              <w:t>7,860,415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6" w:type="dxa"/>
            <w:tcBorders>
              <w:bottom w:val="single" w:sz="12" w:space="0" w:color="000000"/>
            </w:tcBorders>
            <w:shd w:fill="CCEEFF" w:val="clear"/>
            <w:vAlign w:val="center"/>
          </w:tcPr>
          <w:p>
            <w:pPr>
              <w:pStyle w:val="TableContents"/>
              <w:bidi w:val="0"/>
              <w:spacing w:before="0" w:after="283"/>
              <w:jc w:val="right"/>
              <w:rPr>
                <w:sz w:val="18"/>
              </w:rPr>
            </w:pPr>
            <w:r>
              <w:rPr>
                <w:sz w:val="18"/>
              </w:rPr>
              <w:t>4.89</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sz w:val="18"/>
              </w:rPr>
            </w:pPr>
            <w:r>
              <w:rPr>
                <w:sz w:val="18"/>
              </w:rPr>
              <w:t>9,704,216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8" w:type="dxa"/>
            <w:tcBorders/>
            <w:shd w:fill="CCEEFF" w:val="clear"/>
            <w:tcMar>
              <w:bottom w:w="0" w:type="dxa"/>
            </w:tcMar>
            <w:vAlign w:val="center"/>
          </w:tcPr>
          <w:p>
            <w:pPr>
              <w:pStyle w:val="TableContents"/>
              <w:bidi w:val="0"/>
              <w:spacing w:before="0" w:after="283"/>
              <w:jc w:val="right"/>
              <w:rPr>
                <w:sz w:val="18"/>
              </w:rPr>
            </w:pPr>
            <w:r>
              <w:rPr>
                <w:sz w:val="18"/>
              </w:rPr>
              <w:t>8,504,727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sz w:val="18"/>
              </w:rPr>
            </w:pPr>
            <w:r>
              <w:rPr>
                <w:sz w:val="18"/>
              </w:rPr>
              <w:t>7,860,415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4.89</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8"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6" w:type="dxa"/>
            <w:tcBorders/>
            <w:tcMar>
              <w:bottom w:w="0" w:type="dxa"/>
            </w:tcMar>
            <w:vAlign w:val="center"/>
          </w:tcPr>
          <w:p>
            <w:pPr>
              <w:pStyle w:val="TableContents"/>
              <w:bidi w:val="0"/>
              <w:spacing w:before="0" w:after="283"/>
              <w:jc w:val="right"/>
              <w:rPr/>
            </w:pPr>
            <w:r>
              <w:rPr/>
              <w:t> </w:t>
            </w:r>
          </w:p>
        </w:tc>
        <w:tc>
          <w:tcPr>
            <w:tcW w:w="250" w:type="dxa"/>
            <w:tcBorders/>
            <w:tcMar>
              <w:bottom w:w="0" w:type="dxa"/>
            </w:tcMar>
            <w:vAlign w:val="center"/>
          </w:tcPr>
          <w:p>
            <w:pPr>
              <w:pStyle w:val="TableContents"/>
              <w:bidi w:val="0"/>
              <w:spacing w:before="0" w:after="283"/>
              <w:ind w:left="0" w:right="0" w:hanging="180"/>
              <w:jc w:val="left"/>
              <w:rPr/>
            </w:pPr>
            <w:r>
              <w:rPr/>
              <w:t> </w:t>
            </w:r>
          </w:p>
        </w:tc>
      </w:tr>
      <w:tr>
        <w:trPr/>
        <w:tc>
          <w:tcPr>
            <w:tcW w:w="1245" w:type="dxa"/>
            <w:tcBorders/>
            <w:shd w:fill="CCEEFF" w:val="clear"/>
            <w:tcMar>
              <w:bottom w:w="0" w:type="dxa"/>
            </w:tcMar>
            <w:vAlign w:val="center"/>
          </w:tcPr>
          <w:p>
            <w:pPr>
              <w:pStyle w:val="TableContents"/>
              <w:bidi w:val="0"/>
              <w:spacing w:before="0" w:after="283"/>
              <w:jc w:val="left"/>
              <w:rPr>
                <w:sz w:val="18"/>
              </w:rPr>
            </w:pPr>
            <w:r>
              <w:rPr>
                <w:sz w:val="18"/>
              </w:rPr>
              <w:t>PREIT Associates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sz w:val="18"/>
              </w:rPr>
            </w:pPr>
            <w:r>
              <w:rPr>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sz w:val="18"/>
              </w:rPr>
            </w:pPr>
            <w:r>
              <w:rPr>
                <w:sz w:val="18"/>
              </w:rPr>
              <w:t>Senior Secured First Lien Term Loan (SOFR + 7.00%)(14)(23)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sz w:val="18"/>
              </w:rPr>
            </w:pPr>
            <w:r>
              <w:rPr>
                <w:sz w:val="18"/>
              </w:rPr>
              <w:t>4/1/2029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sz w:val="18"/>
              </w:rPr>
            </w:pPr>
            <w:r>
              <w:rPr>
                <w:sz w:val="18"/>
              </w:rPr>
              <w:t>56,201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8" w:type="dxa"/>
            <w:tcBorders/>
            <w:shd w:fill="CCEEFF" w:val="clear"/>
            <w:tcMar>
              <w:bottom w:w="0" w:type="dxa"/>
            </w:tcMar>
            <w:vAlign w:val="center"/>
          </w:tcPr>
          <w:p>
            <w:pPr>
              <w:pStyle w:val="TableContents"/>
              <w:bidi w:val="0"/>
              <w:spacing w:before="0" w:after="283"/>
              <w:jc w:val="right"/>
              <w:rPr>
                <w:sz w:val="18"/>
              </w:rPr>
            </w:pPr>
            <w:r>
              <w:rPr>
                <w:sz w:val="18"/>
              </w:rPr>
              <w:t>55,077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sz w:val="18"/>
              </w:rPr>
            </w:pPr>
            <w:r>
              <w:rPr>
                <w:sz w:val="18"/>
              </w:rPr>
              <w:t>57,606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0.04</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sz w:val="18"/>
              </w:rPr>
            </w:pPr>
            <w:r>
              <w:rPr>
                <w:sz w:val="18"/>
              </w:rPr>
              <w:t>Senior Secured Revolving Note (SOFR + 5.50%)(8)(23)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sz w:val="18"/>
              </w:rPr>
            </w:pPr>
            <w:r>
              <w:rPr>
                <w:sz w:val="18"/>
              </w:rPr>
              <w:t>12/31/2028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844" w:type="dxa"/>
            <w:tcBorders>
              <w:bottom w:val="single" w:sz="12" w:space="0" w:color="000000"/>
            </w:tcBorders>
            <w:shd w:fill="CCEEFF" w:val="clear"/>
            <w:vAlign w:val="center"/>
          </w:tcPr>
          <w:p>
            <w:pPr>
              <w:pStyle w:val="TableContents"/>
              <w:bidi w:val="0"/>
              <w:spacing w:before="0" w:after="283"/>
              <w:jc w:val="right"/>
              <w:rPr>
                <w:sz w:val="18"/>
              </w:rPr>
            </w:pPr>
            <w:r>
              <w:rPr>
                <w:sz w:val="18"/>
              </w:rPr>
              <w:t>73,083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78" w:type="dxa"/>
            <w:tcBorders>
              <w:bottom w:val="single" w:sz="12" w:space="0" w:color="000000"/>
            </w:tcBorders>
            <w:shd w:fill="CCEEFF" w:val="clear"/>
            <w:vAlign w:val="center"/>
          </w:tcPr>
          <w:p>
            <w:pPr>
              <w:pStyle w:val="TableContents"/>
              <w:bidi w:val="0"/>
              <w:spacing w:before="0" w:after="283"/>
              <w:jc w:val="right"/>
              <w:rPr>
                <w:sz w:val="18"/>
              </w:rPr>
            </w:pPr>
            <w:r>
              <w:rPr>
                <w:sz w:val="18"/>
              </w:rPr>
              <w:t>72,230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sz w:val="18"/>
              </w:rPr>
            </w:pPr>
            <w:r>
              <w:rPr>
                <w:sz w:val="18"/>
              </w:rPr>
              <w:t>71,251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6" w:type="dxa"/>
            <w:tcBorders>
              <w:bottom w:val="single" w:sz="12" w:space="0" w:color="000000"/>
            </w:tcBorders>
            <w:shd w:fill="CCEEFF" w:val="clear"/>
            <w:vAlign w:val="center"/>
          </w:tcPr>
          <w:p>
            <w:pPr>
              <w:pStyle w:val="TableContents"/>
              <w:bidi w:val="0"/>
              <w:spacing w:before="0" w:after="283"/>
              <w:jc w:val="right"/>
              <w:rPr>
                <w:sz w:val="18"/>
              </w:rPr>
            </w:pPr>
            <w:r>
              <w:rPr>
                <w:sz w:val="18"/>
              </w:rPr>
              <w:t>0.04</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sz w:val="18"/>
              </w:rPr>
            </w:pPr>
            <w:r>
              <w:rPr>
                <w:sz w:val="18"/>
              </w:rPr>
              <w:t>129,284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8" w:type="dxa"/>
            <w:tcBorders/>
            <w:shd w:fill="CCEEFF" w:val="clear"/>
            <w:tcMar>
              <w:bottom w:w="0" w:type="dxa"/>
            </w:tcMar>
            <w:vAlign w:val="center"/>
          </w:tcPr>
          <w:p>
            <w:pPr>
              <w:pStyle w:val="TableContents"/>
              <w:bidi w:val="0"/>
              <w:spacing w:before="0" w:after="283"/>
              <w:jc w:val="right"/>
              <w:rPr>
                <w:sz w:val="18"/>
              </w:rPr>
            </w:pPr>
            <w:r>
              <w:rPr>
                <w:sz w:val="18"/>
              </w:rPr>
              <w:t>127,307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sz w:val="18"/>
              </w:rPr>
            </w:pPr>
            <w:r>
              <w:rPr>
                <w:sz w:val="18"/>
              </w:rPr>
              <w:t>128,857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0.08</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8"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6" w:type="dxa"/>
            <w:tcBorders/>
            <w:tcMar>
              <w:bottom w:w="0" w:type="dxa"/>
            </w:tcMar>
            <w:vAlign w:val="center"/>
          </w:tcPr>
          <w:p>
            <w:pPr>
              <w:pStyle w:val="TableContents"/>
              <w:bidi w:val="0"/>
              <w:spacing w:before="0" w:after="283"/>
              <w:jc w:val="right"/>
              <w:rPr/>
            </w:pPr>
            <w:r>
              <w:rPr/>
              <w:t> </w:t>
            </w:r>
          </w:p>
        </w:tc>
        <w:tc>
          <w:tcPr>
            <w:tcW w:w="250" w:type="dxa"/>
            <w:tcBorders/>
            <w:tcMar>
              <w:bottom w:w="0" w:type="dxa"/>
            </w:tcMar>
            <w:vAlign w:val="center"/>
          </w:tcPr>
          <w:p>
            <w:pPr>
              <w:pStyle w:val="TableContents"/>
              <w:bidi w:val="0"/>
              <w:spacing w:before="0" w:after="283"/>
              <w:ind w:left="0" w:right="0" w:hanging="180"/>
              <w:jc w:val="left"/>
              <w:rPr/>
            </w:pPr>
            <w:r>
              <w:rPr/>
              <w:t> </w:t>
            </w:r>
          </w:p>
        </w:tc>
      </w:tr>
      <w:tr>
        <w:trPr/>
        <w:tc>
          <w:tcPr>
            <w:tcW w:w="1245" w:type="dxa"/>
            <w:tcBorders/>
            <w:shd w:fill="CCEEFF" w:val="clear"/>
            <w:tcMar>
              <w:bottom w:w="0" w:type="dxa"/>
            </w:tcMar>
            <w:vAlign w:val="center"/>
          </w:tcPr>
          <w:p>
            <w:pPr>
              <w:pStyle w:val="TableContents"/>
              <w:bidi w:val="0"/>
              <w:spacing w:before="0" w:after="283"/>
              <w:jc w:val="left"/>
              <w:rPr>
                <w:sz w:val="18"/>
              </w:rPr>
            </w:pPr>
            <w:r>
              <w:rPr>
                <w:sz w:val="18"/>
              </w:rPr>
              <w:t>PSB Group,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sz w:val="18"/>
              </w:rPr>
            </w:pPr>
            <w:r>
              <w:rPr>
                <w:sz w:val="18"/>
              </w:rPr>
              <w:t>Services: Consumer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sz w:val="18"/>
              </w:rPr>
            </w:pPr>
            <w:r>
              <w:rPr>
                <w:sz w:val="18"/>
              </w:rPr>
              <w:t>Senior Secured First Lien Term Loan (SOFR + 6.50%, 1.00% Floor)(23)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sz w:val="18"/>
              </w:rPr>
            </w:pPr>
            <w:r>
              <w:rPr>
                <w:sz w:val="18"/>
              </w:rPr>
              <w:t>4/17/2030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sz w:val="18"/>
              </w:rPr>
            </w:pPr>
            <w:r>
              <w:rPr>
                <w:sz w:val="18"/>
              </w:rPr>
              <w:t>5,706,618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8" w:type="dxa"/>
            <w:tcBorders/>
            <w:shd w:fill="CCEEFF" w:val="clear"/>
            <w:tcMar>
              <w:bottom w:w="0" w:type="dxa"/>
            </w:tcMar>
            <w:vAlign w:val="center"/>
          </w:tcPr>
          <w:p>
            <w:pPr>
              <w:pStyle w:val="TableContents"/>
              <w:bidi w:val="0"/>
              <w:spacing w:before="0" w:after="283"/>
              <w:jc w:val="right"/>
              <w:rPr>
                <w:sz w:val="18"/>
              </w:rPr>
            </w:pPr>
            <w:r>
              <w:rPr>
                <w:sz w:val="18"/>
              </w:rPr>
              <w:t>5,679,996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sz w:val="18"/>
              </w:rPr>
            </w:pPr>
            <w:r>
              <w:rPr>
                <w:sz w:val="18"/>
              </w:rPr>
              <w:t>5,706,618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3.55</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sz w:val="18"/>
              </w:rPr>
            </w:pPr>
            <w:r>
              <w:rPr>
                <w:sz w:val="18"/>
              </w:rPr>
              <w:t>Senior Secured First Lien Revolver (SOFR + 6.50%, 1.00% Floor)(8)(12)(23)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sz w:val="18"/>
              </w:rPr>
            </w:pPr>
            <w:r>
              <w:rPr>
                <w:sz w:val="18"/>
              </w:rPr>
              <w:t>4/17/2030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844" w:type="dxa"/>
            <w:tcBorders>
              <w:bottom w:val="single" w:sz="12" w:space="0" w:color="000000"/>
            </w:tcBorders>
            <w:shd w:fill="CCEEFF" w:val="clear"/>
            <w:vAlign w:val="center"/>
          </w:tcPr>
          <w:p>
            <w:pPr>
              <w:pStyle w:val="TableContents"/>
              <w:bidi w:val="0"/>
              <w:spacing w:before="0" w:after="283"/>
              <w:jc w:val="right"/>
              <w:rPr>
                <w:sz w:val="18"/>
              </w:rPr>
            </w:pPr>
            <w:r>
              <w:rPr>
                <w:sz w:val="18"/>
              </w:rPr>
              <w:t>293,137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78" w:type="dxa"/>
            <w:tcBorders>
              <w:bottom w:val="single" w:sz="12" w:space="0" w:color="000000"/>
            </w:tcBorders>
            <w:shd w:fill="CCEEFF" w:val="clear"/>
            <w:vAlign w:val="center"/>
          </w:tcPr>
          <w:p>
            <w:pPr>
              <w:pStyle w:val="TableContents"/>
              <w:bidi w:val="0"/>
              <w:spacing w:before="0" w:after="283"/>
              <w:jc w:val="right"/>
              <w:rPr>
                <w:sz w:val="18"/>
              </w:rPr>
            </w:pPr>
            <w:r>
              <w:rPr>
                <w:sz w:val="18"/>
              </w:rPr>
              <w:t>293,137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sz w:val="18"/>
              </w:rPr>
            </w:pPr>
            <w:r>
              <w:rPr>
                <w:sz w:val="18"/>
              </w:rPr>
              <w:t>293,137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6" w:type="dxa"/>
            <w:tcBorders>
              <w:bottom w:val="single" w:sz="12" w:space="0" w:color="000000"/>
            </w:tcBorders>
            <w:shd w:fill="CCEEFF" w:val="clear"/>
            <w:vAlign w:val="center"/>
          </w:tcPr>
          <w:p>
            <w:pPr>
              <w:pStyle w:val="TableContents"/>
              <w:bidi w:val="0"/>
              <w:spacing w:before="0" w:after="283"/>
              <w:jc w:val="right"/>
              <w:rPr>
                <w:sz w:val="18"/>
              </w:rPr>
            </w:pPr>
            <w:r>
              <w:rPr>
                <w:sz w:val="18"/>
              </w:rPr>
              <w:t>0.18</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sz w:val="18"/>
              </w:rPr>
            </w:pPr>
            <w:r>
              <w:rPr>
                <w:sz w:val="18"/>
              </w:rPr>
              <w:t>5,999,755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8" w:type="dxa"/>
            <w:tcBorders/>
            <w:shd w:fill="CCEEFF" w:val="clear"/>
            <w:tcMar>
              <w:bottom w:w="0" w:type="dxa"/>
            </w:tcMar>
            <w:vAlign w:val="center"/>
          </w:tcPr>
          <w:p>
            <w:pPr>
              <w:pStyle w:val="TableContents"/>
              <w:bidi w:val="0"/>
              <w:spacing w:before="0" w:after="283"/>
              <w:jc w:val="right"/>
              <w:rPr>
                <w:sz w:val="18"/>
              </w:rPr>
            </w:pPr>
            <w:r>
              <w:rPr>
                <w:sz w:val="18"/>
              </w:rPr>
              <w:t>5,973,133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sz w:val="18"/>
              </w:rPr>
            </w:pPr>
            <w:r>
              <w:rPr>
                <w:sz w:val="18"/>
              </w:rPr>
              <w:t>5,999,755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3.73</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8"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596" w:type="dxa"/>
            <w:tcBorders/>
            <w:tcMar>
              <w:bottom w:w="0" w:type="dxa"/>
            </w:tcMar>
            <w:vAlign w:val="center"/>
          </w:tcPr>
          <w:p>
            <w:pPr>
              <w:pStyle w:val="TableContents"/>
              <w:bidi w:val="0"/>
              <w:spacing w:before="0" w:after="283"/>
              <w:jc w:val="right"/>
              <w:rPr/>
            </w:pPr>
            <w:r>
              <w:rPr/>
              <w:t> </w:t>
            </w:r>
          </w:p>
        </w:tc>
        <w:tc>
          <w:tcPr>
            <w:tcW w:w="250" w:type="dxa"/>
            <w:tcBorders/>
            <w:tcMar>
              <w:bottom w:w="0" w:type="dxa"/>
            </w:tcMar>
            <w:vAlign w:val="center"/>
          </w:tcPr>
          <w:p>
            <w:pPr>
              <w:pStyle w:val="TableContents"/>
              <w:bidi w:val="0"/>
              <w:spacing w:before="0" w:after="283"/>
              <w:ind w:left="0" w:right="0" w:hanging="180"/>
              <w:jc w:val="left"/>
              <w:rPr/>
            </w:pPr>
            <w:r>
              <w:rPr/>
              <w:t> </w:t>
            </w:r>
          </w:p>
        </w:tc>
      </w:tr>
      <w:tr>
        <w:trPr/>
        <w:tc>
          <w:tcPr>
            <w:tcW w:w="1245" w:type="dxa"/>
            <w:tcBorders/>
            <w:shd w:fill="CCEEFF" w:val="clear"/>
            <w:tcMar>
              <w:bottom w:w="0" w:type="dxa"/>
            </w:tcMar>
            <w:vAlign w:val="center"/>
          </w:tcPr>
          <w:p>
            <w:pPr>
              <w:pStyle w:val="TableContents"/>
              <w:bidi w:val="0"/>
              <w:spacing w:before="0" w:after="283"/>
              <w:jc w:val="left"/>
              <w:rPr>
                <w:sz w:val="18"/>
              </w:rPr>
            </w:pPr>
            <w:r>
              <w:rPr>
                <w:sz w:val="18"/>
              </w:rPr>
              <w:t>Redwood Trust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sz w:val="18"/>
              </w:rPr>
            </w:pPr>
            <w:r>
              <w:rPr>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sz w:val="18"/>
              </w:rPr>
            </w:pPr>
            <w:r>
              <w:rPr>
                <w:sz w:val="18"/>
              </w:rPr>
              <w:t>Equity - 165,000 Common Units(13)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844" w:type="dxa"/>
            <w:tcBorders>
              <w:bottom w:val="single" w:sz="12" w:space="0" w:color="000000"/>
            </w:tcBorders>
            <w:shd w:fill="CCEEFF" w:val="clear"/>
            <w:vAlign w:val="center"/>
          </w:tcPr>
          <w:p>
            <w:pPr>
              <w:pStyle w:val="TableContents"/>
              <w:bidi w:val="0"/>
              <w:spacing w:before="0" w:after="283"/>
              <w:jc w:val="right"/>
              <w:rPr>
                <w:sz w:val="18"/>
              </w:rPr>
            </w:pPr>
            <w:r>
              <w:rPr>
                <w:sz w:val="18"/>
              </w:rPr>
              <w:t>165,000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78" w:type="dxa"/>
            <w:tcBorders>
              <w:bottom w:val="single" w:sz="12" w:space="0" w:color="000000"/>
            </w:tcBorders>
            <w:shd w:fill="CCEEFF" w:val="clear"/>
            <w:vAlign w:val="center"/>
          </w:tcPr>
          <w:p>
            <w:pPr>
              <w:pStyle w:val="TableContents"/>
              <w:bidi w:val="0"/>
              <w:spacing w:before="0" w:after="283"/>
              <w:jc w:val="right"/>
              <w:rPr>
                <w:sz w:val="18"/>
              </w:rPr>
            </w:pPr>
            <w:r>
              <w:rPr>
                <w:sz w:val="18"/>
              </w:rPr>
              <w:t>1,012,942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70" w:type="dxa"/>
            <w:tcBorders>
              <w:bottom w:val="single" w:sz="12" w:space="0" w:color="000000"/>
            </w:tcBorders>
            <w:shd w:fill="CCEEFF" w:val="clear"/>
            <w:vAlign w:val="center"/>
          </w:tcPr>
          <w:p>
            <w:pPr>
              <w:pStyle w:val="TableContents"/>
              <w:bidi w:val="0"/>
              <w:spacing w:before="0" w:after="283"/>
              <w:jc w:val="right"/>
              <w:rPr>
                <w:sz w:val="18"/>
              </w:rPr>
            </w:pPr>
            <w:r>
              <w:rPr>
                <w:sz w:val="18"/>
              </w:rPr>
              <w:t>955,350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596" w:type="dxa"/>
            <w:tcBorders>
              <w:bottom w:val="single" w:sz="12" w:space="0" w:color="000000"/>
            </w:tcBorders>
            <w:shd w:fill="CCEEFF" w:val="clear"/>
            <w:vAlign w:val="center"/>
          </w:tcPr>
          <w:p>
            <w:pPr>
              <w:pStyle w:val="TableContents"/>
              <w:bidi w:val="0"/>
              <w:spacing w:before="0" w:after="283"/>
              <w:jc w:val="right"/>
              <w:rPr>
                <w:sz w:val="18"/>
              </w:rPr>
            </w:pPr>
            <w:r>
              <w:rPr>
                <w:sz w:val="18"/>
              </w:rPr>
              <w:t>0.59</w:t>
            </w:r>
          </w:p>
        </w:tc>
        <w:tc>
          <w:tcPr>
            <w:tcW w:w="25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sz w:val="18"/>
              </w:rPr>
            </w:pPr>
            <w:r>
              <w:rPr>
                <w:sz w:val="18"/>
              </w:rPr>
              <w:t>165,000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8" w:type="dxa"/>
            <w:tcBorders/>
            <w:shd w:fill="CCEEFF" w:val="clear"/>
            <w:tcMar>
              <w:bottom w:w="0" w:type="dxa"/>
            </w:tcMar>
            <w:vAlign w:val="center"/>
          </w:tcPr>
          <w:p>
            <w:pPr>
              <w:pStyle w:val="TableContents"/>
              <w:bidi w:val="0"/>
              <w:spacing w:before="0" w:after="283"/>
              <w:jc w:val="right"/>
              <w:rPr>
                <w:sz w:val="18"/>
              </w:rPr>
            </w:pPr>
            <w:r>
              <w:rPr>
                <w:sz w:val="18"/>
              </w:rPr>
              <w:t>1,012,942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sz w:val="18"/>
              </w:rPr>
            </w:pPr>
            <w:r>
              <w:rPr>
                <w:sz w:val="18"/>
              </w:rPr>
              <w:t>955,350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8"/>
              </w:rPr>
            </w:pPr>
            <w:r>
              <w:rPr>
                <w:sz w:val="18"/>
              </w:rPr>
              <w:t>0.59</w:t>
            </w:r>
          </w:p>
        </w:tc>
        <w:tc>
          <w:tcPr>
            <w:tcW w:w="250" w:type="dxa"/>
            <w:tcBorders/>
            <w:shd w:fill="CCEEFF" w:val="clear"/>
            <w:tcMar>
              <w:bottom w:w="0" w:type="dxa"/>
            </w:tcMar>
            <w:vAlign w:val="center"/>
          </w:tcPr>
          <w:p>
            <w:pPr>
              <w:pStyle w:val="TableContents"/>
              <w:bidi w:val="0"/>
              <w:spacing w:before="0" w:after="283"/>
              <w:jc w:val="left"/>
              <w:rPr>
                <w:sz w:val="18"/>
              </w:rPr>
            </w:pPr>
            <w:r>
              <w:rPr>
                <w:sz w:val="18"/>
              </w:rPr>
              <w:t>%</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87"/>
        <w:gridCol w:w="90"/>
        <w:gridCol w:w="1303"/>
        <w:gridCol w:w="90"/>
        <w:gridCol w:w="1608"/>
        <w:gridCol w:w="90"/>
        <w:gridCol w:w="753"/>
        <w:gridCol w:w="90"/>
        <w:gridCol w:w="90"/>
        <w:gridCol w:w="92"/>
        <w:gridCol w:w="971"/>
        <w:gridCol w:w="90"/>
        <w:gridCol w:w="90"/>
        <w:gridCol w:w="140"/>
        <w:gridCol w:w="950"/>
        <w:gridCol w:w="90"/>
        <w:gridCol w:w="90"/>
        <w:gridCol w:w="140"/>
        <w:gridCol w:w="950"/>
        <w:gridCol w:w="90"/>
        <w:gridCol w:w="90"/>
        <w:gridCol w:w="122"/>
        <w:gridCol w:w="619"/>
        <w:gridCol w:w="280"/>
      </w:tblGrid>
      <w:tr>
        <w:trPr/>
        <w:tc>
          <w:tcPr>
            <w:tcW w:w="1287" w:type="dxa"/>
            <w:tcBorders>
              <w:bottom w:val="single" w:sz="12" w:space="0" w:color="000000"/>
            </w:tcBorders>
            <w:vAlign w:val="center"/>
          </w:tcPr>
          <w:p>
            <w:pPr>
              <w:pStyle w:val="TableContents"/>
              <w:bidi w:val="0"/>
              <w:spacing w:before="0" w:after="283"/>
              <w:ind w:left="0" w:right="0" w:hanging="180"/>
              <w:jc w:val="left"/>
              <w:rPr>
                <w:b/>
                <w:sz w:val="18"/>
              </w:rPr>
            </w:pPr>
            <w:r>
              <w:rPr>
                <w:b/>
                <w:sz w:val="18"/>
              </w:rPr>
              <w:t>Company(1)</w:t>
            </w:r>
          </w:p>
        </w:tc>
        <w:tc>
          <w:tcPr>
            <w:tcW w:w="90" w:type="dxa"/>
            <w:tcBorders/>
            <w:tcMar>
              <w:bottom w:w="0" w:type="dxa"/>
            </w:tcMar>
            <w:vAlign w:val="center"/>
          </w:tcPr>
          <w:p>
            <w:pPr>
              <w:pStyle w:val="TableContents"/>
              <w:bidi w:val="0"/>
              <w:spacing w:before="0" w:after="283"/>
              <w:jc w:val="left"/>
              <w:rPr/>
            </w:pPr>
            <w:r>
              <w:rPr/>
              <w:t> </w:t>
            </w:r>
          </w:p>
        </w:tc>
        <w:tc>
          <w:tcPr>
            <w:tcW w:w="1303" w:type="dxa"/>
            <w:tcBorders>
              <w:bottom w:val="single" w:sz="12" w:space="0" w:color="000000"/>
            </w:tcBorders>
            <w:vAlign w:val="center"/>
          </w:tcPr>
          <w:p>
            <w:pPr>
              <w:pStyle w:val="TableContents"/>
              <w:bidi w:val="0"/>
              <w:spacing w:before="0" w:after="283"/>
              <w:jc w:val="center"/>
              <w:rPr>
                <w:b/>
                <w:sz w:val="18"/>
              </w:rPr>
            </w:pPr>
            <w:r>
              <w:rPr>
                <w:b/>
                <w:sz w:val="18"/>
              </w:rPr>
              <w:t>Industry</w:t>
            </w:r>
          </w:p>
        </w:tc>
        <w:tc>
          <w:tcPr>
            <w:tcW w:w="90" w:type="dxa"/>
            <w:tcBorders/>
            <w:tcMar>
              <w:bottom w:w="0" w:type="dxa"/>
            </w:tcMar>
            <w:vAlign w:val="center"/>
          </w:tcPr>
          <w:p>
            <w:pPr>
              <w:pStyle w:val="TableContents"/>
              <w:bidi w:val="0"/>
              <w:spacing w:before="0" w:after="283"/>
              <w:jc w:val="left"/>
              <w:rPr/>
            </w:pPr>
            <w:r>
              <w:rPr/>
              <w:t> </w:t>
            </w:r>
          </w:p>
        </w:tc>
        <w:tc>
          <w:tcPr>
            <w:tcW w:w="1608" w:type="dxa"/>
            <w:tcBorders>
              <w:bottom w:val="single" w:sz="12" w:space="0" w:color="000000"/>
            </w:tcBorders>
            <w:vAlign w:val="center"/>
          </w:tcPr>
          <w:p>
            <w:pPr>
              <w:pStyle w:val="TableContents"/>
              <w:bidi w:val="0"/>
              <w:spacing w:before="0" w:after="283"/>
              <w:jc w:val="center"/>
              <w:rPr>
                <w:b/>
                <w:sz w:val="18"/>
              </w:rPr>
            </w:pPr>
            <w:r>
              <w:rPr>
                <w:b/>
                <w:sz w:val="18"/>
              </w:rPr>
              <w:t>Type of Investment</w:t>
            </w:r>
          </w:p>
        </w:tc>
        <w:tc>
          <w:tcPr>
            <w:tcW w:w="90" w:type="dxa"/>
            <w:tcBorders/>
            <w:tcMar>
              <w:bottom w:w="0" w:type="dxa"/>
            </w:tcMar>
            <w:vAlign w:val="center"/>
          </w:tcPr>
          <w:p>
            <w:pPr>
              <w:pStyle w:val="TableContents"/>
              <w:bidi w:val="0"/>
              <w:spacing w:before="0" w:after="283"/>
              <w:jc w:val="left"/>
              <w:rPr/>
            </w:pPr>
            <w:r>
              <w:rPr/>
              <w:t> </w:t>
            </w:r>
          </w:p>
        </w:tc>
        <w:tc>
          <w:tcPr>
            <w:tcW w:w="753" w:type="dxa"/>
            <w:tcBorders>
              <w:bottom w:val="single" w:sz="12" w:space="0" w:color="000000"/>
            </w:tcBorders>
            <w:vAlign w:val="center"/>
          </w:tcPr>
          <w:p>
            <w:pPr>
              <w:pStyle w:val="TableContents"/>
              <w:bidi w:val="0"/>
              <w:spacing w:before="0" w:after="283"/>
              <w:jc w:val="center"/>
              <w:rPr>
                <w:b/>
                <w:sz w:val="18"/>
              </w:rPr>
            </w:pPr>
            <w:r>
              <w:rPr>
                <w:b/>
                <w:sz w:val="18"/>
              </w:rPr>
              <w:t>Maturity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12" w:space="0" w:color="000000"/>
            </w:tcBorders>
            <w:vAlign w:val="center"/>
          </w:tcPr>
          <w:p>
            <w:pPr>
              <w:pStyle w:val="TableContents"/>
              <w:bidi w:val="0"/>
              <w:spacing w:before="0" w:after="283"/>
              <w:jc w:val="center"/>
              <w:rPr>
                <w:b/>
                <w:sz w:val="18"/>
              </w:rPr>
            </w:pPr>
            <w:r>
              <w:rPr>
                <w:b/>
                <w:sz w:val="18"/>
              </w:rPr>
              <w:t>Par Amount/</w:t>
              <w:br/>
              <w:t>Shares/Units(2)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0" w:type="dxa"/>
            <w:gridSpan w:val="2"/>
            <w:tcBorders>
              <w:bottom w:val="single" w:sz="12" w:space="0" w:color="000000"/>
            </w:tcBorders>
            <w:vAlign w:val="center"/>
          </w:tcPr>
          <w:p>
            <w:pPr>
              <w:pStyle w:val="TableContents"/>
              <w:bidi w:val="0"/>
              <w:spacing w:before="0" w:after="283"/>
              <w:jc w:val="center"/>
              <w:rPr>
                <w:b/>
                <w:sz w:val="18"/>
              </w:rPr>
            </w:pPr>
            <w:r>
              <w:rPr>
                <w:b/>
                <w:sz w:val="18"/>
              </w:rPr>
              <w:t xml:space="preserve">Amortized </w:t>
              <w:br/>
              <w:t>Cost(3)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0" w:type="dxa"/>
            <w:gridSpan w:val="2"/>
            <w:tcBorders>
              <w:bottom w:val="single" w:sz="12" w:space="0" w:color="000000"/>
            </w:tcBorders>
            <w:vAlign w:val="center"/>
          </w:tcPr>
          <w:p>
            <w:pPr>
              <w:pStyle w:val="TableContents"/>
              <w:bidi w:val="0"/>
              <w:spacing w:before="0" w:after="283"/>
              <w:jc w:val="center"/>
              <w:rPr>
                <w:b/>
                <w:sz w:val="18"/>
              </w:rPr>
            </w:pPr>
            <w:r>
              <w:rPr>
                <w:b/>
                <w:sz w:val="18"/>
              </w:rPr>
              <w:t xml:space="preserve">Fair </w:t>
              <w:br/>
              <w:t>Value(4)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41" w:type="dxa"/>
            <w:gridSpan w:val="2"/>
            <w:tcBorders>
              <w:bottom w:val="single" w:sz="12" w:space="0" w:color="000000"/>
            </w:tcBorders>
            <w:vAlign w:val="center"/>
          </w:tcPr>
          <w:p>
            <w:pPr>
              <w:pStyle w:val="TableContents"/>
              <w:bidi w:val="0"/>
              <w:spacing w:before="0" w:after="283"/>
              <w:jc w:val="center"/>
              <w:rPr>
                <w:b/>
                <w:sz w:val="18"/>
              </w:rPr>
            </w:pPr>
            <w:r>
              <w:rPr>
                <w:b/>
                <w:sz w:val="18"/>
              </w:rPr>
              <w:t>% of Net</w:t>
              <w:br/>
              <w:t>Assets(5)</w:t>
            </w:r>
          </w:p>
        </w:tc>
        <w:tc>
          <w:tcPr>
            <w:tcW w:w="280" w:type="dxa"/>
            <w:tcBorders/>
            <w:tcMar>
              <w:bottom w:w="0" w:type="dxa"/>
            </w:tcMar>
            <w:vAlign w:val="center"/>
          </w:tcPr>
          <w:p>
            <w:pPr>
              <w:pStyle w:val="TableContents"/>
              <w:bidi w:val="0"/>
              <w:spacing w:before="0" w:after="283"/>
              <w:ind w:left="0" w:right="0" w:hanging="180"/>
              <w:jc w:val="left"/>
              <w:rPr/>
            </w:pPr>
            <w:r>
              <w:rPr/>
              <w:t> </w:t>
            </w:r>
          </w:p>
        </w:tc>
      </w:tr>
      <w:tr>
        <w:trPr/>
        <w:tc>
          <w:tcPr>
            <w:tcW w:w="1287" w:type="dxa"/>
            <w:tcBorders/>
            <w:shd w:fill="CCEEFF" w:val="clear"/>
            <w:tcMar>
              <w:bottom w:w="0" w:type="dxa"/>
            </w:tcMar>
            <w:vAlign w:val="center"/>
          </w:tcPr>
          <w:p>
            <w:pPr>
              <w:pStyle w:val="TableContents"/>
              <w:bidi w:val="0"/>
              <w:spacing w:before="0" w:after="283"/>
              <w:jc w:val="left"/>
              <w:rPr>
                <w:sz w:val="18"/>
              </w:rPr>
            </w:pPr>
            <w:r>
              <w:rPr>
                <w:sz w:val="18"/>
              </w:rPr>
              <w:t>SS Acquisition, LLC (dba Soccer Shots Franchising)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sz w:val="18"/>
              </w:rPr>
            </w:pPr>
            <w:r>
              <w:rPr>
                <w:sz w:val="18"/>
              </w:rPr>
              <w:t>Services: Consumer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sz w:val="18"/>
              </w:rPr>
            </w:pPr>
            <w:r>
              <w:rPr>
                <w:sz w:val="18"/>
              </w:rPr>
              <w:t>Senior Secured First Lien Term Loan (SOFR + 5.75%, 1.00% Floor)(23)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sz w:val="18"/>
              </w:rPr>
            </w:pPr>
            <w:r>
              <w:rPr>
                <w:sz w:val="18"/>
              </w:rPr>
              <w:t>12/20/2029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sz w:val="18"/>
              </w:rPr>
            </w:pPr>
            <w:r>
              <w:rPr>
                <w:sz w:val="18"/>
              </w:rPr>
              <w:t>13,469,643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13,404,028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13,469,643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sz w:val="18"/>
              </w:rPr>
            </w:pPr>
            <w:r>
              <w:rPr>
                <w:sz w:val="18"/>
              </w:rPr>
              <w:t>8.38</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sz w:val="18"/>
              </w:rPr>
            </w:pPr>
            <w:r>
              <w:rPr>
                <w:sz w:val="18"/>
              </w:rPr>
              <w:t>Senior Secured First Lien Revolver (SOFR + 5.75%, 1.00% Floor)(8)(12)(23)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sz w:val="18"/>
              </w:rPr>
            </w:pPr>
            <w:r>
              <w:rPr>
                <w:sz w:val="18"/>
              </w:rPr>
              <w:t>12/20/2029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1" w:type="dxa"/>
            <w:tcBorders>
              <w:bottom w:val="single" w:sz="12" w:space="0" w:color="000000"/>
            </w:tcBorders>
            <w:shd w:fill="CCEEFF" w:val="clear"/>
            <w:vAlign w:val="center"/>
          </w:tcPr>
          <w:p>
            <w:pPr>
              <w:pStyle w:val="TableContents"/>
              <w:bidi w:val="0"/>
              <w:spacing w:before="0" w:after="283"/>
              <w:jc w:val="right"/>
              <w:rPr>
                <w:sz w:val="18"/>
              </w:rPr>
            </w:pPr>
            <w:r>
              <w:rPr>
                <w:sz w:val="18"/>
              </w:rPr>
              <w:t>400,000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400,000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400,000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bottom w:val="single" w:sz="12" w:space="0" w:color="000000"/>
            </w:tcBorders>
            <w:shd w:fill="CCEEFF" w:val="clear"/>
            <w:vAlign w:val="center"/>
          </w:tcPr>
          <w:p>
            <w:pPr>
              <w:pStyle w:val="TableContents"/>
              <w:bidi w:val="0"/>
              <w:spacing w:before="0" w:after="283"/>
              <w:jc w:val="left"/>
              <w:rPr/>
            </w:pPr>
            <w:r>
              <w:rPr/>
              <w:t> </w:t>
            </w:r>
          </w:p>
        </w:tc>
        <w:tc>
          <w:tcPr>
            <w:tcW w:w="619" w:type="dxa"/>
            <w:tcBorders>
              <w:bottom w:val="single" w:sz="12" w:space="0" w:color="000000"/>
            </w:tcBorders>
            <w:shd w:fill="CCEEFF" w:val="clear"/>
            <w:vAlign w:val="center"/>
          </w:tcPr>
          <w:p>
            <w:pPr>
              <w:pStyle w:val="TableContents"/>
              <w:bidi w:val="0"/>
              <w:spacing w:before="0" w:after="283"/>
              <w:jc w:val="right"/>
              <w:rPr>
                <w:sz w:val="18"/>
              </w:rPr>
            </w:pPr>
            <w:r>
              <w:rPr>
                <w:sz w:val="18"/>
              </w:rPr>
              <w:t>0.25</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sz w:val="18"/>
              </w:rPr>
            </w:pPr>
            <w:r>
              <w:rPr>
                <w:sz w:val="18"/>
              </w:rPr>
              <w:t>13,869,643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13,804,028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13,869,643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sz w:val="18"/>
              </w:rPr>
            </w:pPr>
            <w:r>
              <w:rPr>
                <w:sz w:val="18"/>
              </w:rPr>
              <w:t>8.63</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0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3"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619" w:type="dxa"/>
            <w:tcBorders/>
            <w:tcMar>
              <w:bottom w:w="0" w:type="dxa"/>
            </w:tcMar>
            <w:vAlign w:val="center"/>
          </w:tcPr>
          <w:p>
            <w:pPr>
              <w:pStyle w:val="TableContents"/>
              <w:bidi w:val="0"/>
              <w:spacing w:before="0" w:after="283"/>
              <w:jc w:val="right"/>
              <w:rPr/>
            </w:pPr>
            <w:r>
              <w:rPr/>
              <w:t> </w:t>
            </w:r>
          </w:p>
        </w:tc>
        <w:tc>
          <w:tcPr>
            <w:tcW w:w="280" w:type="dxa"/>
            <w:tcBorders/>
            <w:tcMar>
              <w:bottom w:w="0" w:type="dxa"/>
            </w:tcMar>
            <w:vAlign w:val="center"/>
          </w:tcPr>
          <w:p>
            <w:pPr>
              <w:pStyle w:val="TableContents"/>
              <w:bidi w:val="0"/>
              <w:spacing w:before="0" w:after="283"/>
              <w:ind w:left="0" w:right="0" w:hanging="180"/>
              <w:jc w:val="left"/>
              <w:rPr/>
            </w:pPr>
            <w:r>
              <w:rPr/>
              <w:t> </w:t>
            </w:r>
          </w:p>
        </w:tc>
      </w:tr>
      <w:tr>
        <w:trPr/>
        <w:tc>
          <w:tcPr>
            <w:tcW w:w="1287" w:type="dxa"/>
            <w:tcBorders/>
            <w:shd w:fill="CCEEFF" w:val="clear"/>
            <w:tcMar>
              <w:bottom w:w="0" w:type="dxa"/>
            </w:tcMar>
            <w:vAlign w:val="center"/>
          </w:tcPr>
          <w:p>
            <w:pPr>
              <w:pStyle w:val="TableContents"/>
              <w:bidi w:val="0"/>
              <w:spacing w:before="0" w:after="283"/>
              <w:jc w:val="left"/>
              <w:rPr>
                <w:sz w:val="18"/>
              </w:rPr>
            </w:pPr>
            <w:r>
              <w:rPr>
                <w:sz w:val="18"/>
              </w:rPr>
              <w:t>Stancor (dba Industrial Flow Solutions Holdings,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sz w:val="18"/>
              </w:rPr>
            </w:pPr>
            <w:r>
              <w:rPr>
                <w:sz w:val="18"/>
              </w:rPr>
              <w:t>Services: Business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sz w:val="18"/>
              </w:rPr>
            </w:pPr>
            <w:r>
              <w:rPr>
                <w:sz w:val="18"/>
              </w:rPr>
              <w:t>Equity - 358,867 Class A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1" w:type="dxa"/>
            <w:tcBorders>
              <w:bottom w:val="single" w:sz="12" w:space="0" w:color="000000"/>
            </w:tcBorders>
            <w:shd w:fill="CCEEFF" w:val="clear"/>
            <w:vAlign w:val="center"/>
          </w:tcPr>
          <w:p>
            <w:pPr>
              <w:pStyle w:val="TableContents"/>
              <w:bidi w:val="0"/>
              <w:spacing w:before="0" w:after="283"/>
              <w:jc w:val="right"/>
              <w:rPr>
                <w:sz w:val="18"/>
              </w:rPr>
            </w:pPr>
            <w:r>
              <w:rPr>
                <w:sz w:val="18"/>
              </w:rPr>
              <w:t>358,867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345,491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314,132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bottom w:val="single" w:sz="12" w:space="0" w:color="000000"/>
            </w:tcBorders>
            <w:shd w:fill="CCEEFF" w:val="clear"/>
            <w:vAlign w:val="center"/>
          </w:tcPr>
          <w:p>
            <w:pPr>
              <w:pStyle w:val="TableContents"/>
              <w:bidi w:val="0"/>
              <w:spacing w:before="0" w:after="283"/>
              <w:jc w:val="left"/>
              <w:rPr/>
            </w:pPr>
            <w:r>
              <w:rPr/>
              <w:t> </w:t>
            </w:r>
          </w:p>
        </w:tc>
        <w:tc>
          <w:tcPr>
            <w:tcW w:w="619" w:type="dxa"/>
            <w:tcBorders>
              <w:bottom w:val="single" w:sz="12" w:space="0" w:color="000000"/>
            </w:tcBorders>
            <w:shd w:fill="CCEEFF" w:val="clear"/>
            <w:vAlign w:val="center"/>
          </w:tcPr>
          <w:p>
            <w:pPr>
              <w:pStyle w:val="TableContents"/>
              <w:bidi w:val="0"/>
              <w:spacing w:before="0" w:after="283"/>
              <w:jc w:val="right"/>
              <w:rPr>
                <w:sz w:val="18"/>
              </w:rPr>
            </w:pPr>
            <w:r>
              <w:rPr>
                <w:sz w:val="18"/>
              </w:rPr>
              <w:t>0.20</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sz w:val="18"/>
              </w:rPr>
            </w:pPr>
            <w:r>
              <w:rPr>
                <w:sz w:val="18"/>
              </w:rPr>
              <w:t>358,867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345,491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314,132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sz w:val="18"/>
              </w:rPr>
            </w:pPr>
            <w:r>
              <w:rPr>
                <w:sz w:val="18"/>
              </w:rPr>
              <w:t>0.20</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0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3"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619" w:type="dxa"/>
            <w:tcBorders/>
            <w:tcMar>
              <w:bottom w:w="0" w:type="dxa"/>
            </w:tcMar>
            <w:vAlign w:val="center"/>
          </w:tcPr>
          <w:p>
            <w:pPr>
              <w:pStyle w:val="TableContents"/>
              <w:bidi w:val="0"/>
              <w:spacing w:before="0" w:after="283"/>
              <w:jc w:val="right"/>
              <w:rPr/>
            </w:pPr>
            <w:r>
              <w:rPr/>
              <w:t> </w:t>
            </w:r>
          </w:p>
        </w:tc>
        <w:tc>
          <w:tcPr>
            <w:tcW w:w="280" w:type="dxa"/>
            <w:tcBorders/>
            <w:tcMar>
              <w:bottom w:w="0" w:type="dxa"/>
            </w:tcMar>
            <w:vAlign w:val="center"/>
          </w:tcPr>
          <w:p>
            <w:pPr>
              <w:pStyle w:val="TableContents"/>
              <w:bidi w:val="0"/>
              <w:spacing w:before="0" w:after="283"/>
              <w:ind w:left="0" w:right="0" w:hanging="180"/>
              <w:jc w:val="left"/>
              <w:rPr/>
            </w:pPr>
            <w:r>
              <w:rPr/>
              <w:t> </w:t>
            </w:r>
          </w:p>
        </w:tc>
      </w:tr>
      <w:tr>
        <w:trPr/>
        <w:tc>
          <w:tcPr>
            <w:tcW w:w="1287" w:type="dxa"/>
            <w:tcBorders/>
            <w:shd w:fill="CCEEFF" w:val="clear"/>
            <w:tcMar>
              <w:bottom w:w="0" w:type="dxa"/>
            </w:tcMar>
            <w:vAlign w:val="center"/>
          </w:tcPr>
          <w:p>
            <w:pPr>
              <w:pStyle w:val="TableContents"/>
              <w:bidi w:val="0"/>
              <w:spacing w:before="0" w:after="283"/>
              <w:jc w:val="left"/>
              <w:rPr>
                <w:sz w:val="18"/>
              </w:rPr>
            </w:pPr>
            <w:r>
              <w:rPr>
                <w:sz w:val="18"/>
              </w:rPr>
              <w:t>Spotter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sz w:val="18"/>
              </w:rPr>
            </w:pPr>
            <w:r>
              <w:rPr>
                <w:sz w:val="18"/>
              </w:rPr>
              <w:t>High Tech Industries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sz w:val="18"/>
              </w:rPr>
            </w:pPr>
            <w:r>
              <w:rPr>
                <w:sz w:val="18"/>
              </w:rPr>
              <w:t>Equity - Series D-1 Preferred Stock(21)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1" w:type="dxa"/>
            <w:tcBorders>
              <w:bottom w:val="single" w:sz="12" w:space="0" w:color="000000"/>
            </w:tcBorders>
            <w:shd w:fill="CCEEFF" w:val="clear"/>
            <w:vAlign w:val="center"/>
          </w:tcPr>
          <w:p>
            <w:pPr>
              <w:pStyle w:val="TableContents"/>
              <w:bidi w:val="0"/>
              <w:spacing w:before="0" w:after="283"/>
              <w:jc w:val="right"/>
              <w:rPr>
                <w:sz w:val="18"/>
              </w:rPr>
            </w:pPr>
            <w:r>
              <w:rPr>
                <w:sz w:val="18"/>
              </w:rPr>
              <w:t>414,293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5,999,998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5,999,998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bottom w:val="single" w:sz="12" w:space="0" w:color="000000"/>
            </w:tcBorders>
            <w:shd w:fill="CCEEFF" w:val="clear"/>
            <w:vAlign w:val="center"/>
          </w:tcPr>
          <w:p>
            <w:pPr>
              <w:pStyle w:val="TableContents"/>
              <w:bidi w:val="0"/>
              <w:spacing w:before="0" w:after="283"/>
              <w:jc w:val="left"/>
              <w:rPr/>
            </w:pPr>
            <w:r>
              <w:rPr/>
              <w:t> </w:t>
            </w:r>
          </w:p>
        </w:tc>
        <w:tc>
          <w:tcPr>
            <w:tcW w:w="619" w:type="dxa"/>
            <w:tcBorders>
              <w:bottom w:val="single" w:sz="12" w:space="0" w:color="000000"/>
            </w:tcBorders>
            <w:shd w:fill="CCEEFF" w:val="clear"/>
            <w:vAlign w:val="center"/>
          </w:tcPr>
          <w:p>
            <w:pPr>
              <w:pStyle w:val="TableContents"/>
              <w:bidi w:val="0"/>
              <w:spacing w:before="0" w:after="283"/>
              <w:jc w:val="right"/>
              <w:rPr>
                <w:sz w:val="18"/>
              </w:rPr>
            </w:pPr>
            <w:r>
              <w:rPr>
                <w:sz w:val="18"/>
              </w:rPr>
              <w:t>3.73</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sz w:val="18"/>
              </w:rPr>
            </w:pPr>
            <w:r>
              <w:rPr>
                <w:sz w:val="18"/>
              </w:rPr>
              <w:t>414,293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5,999,998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5,999,998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sz w:val="18"/>
              </w:rPr>
            </w:pPr>
            <w:r>
              <w:rPr>
                <w:sz w:val="18"/>
              </w:rPr>
              <w:t>3.73</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0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3"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619" w:type="dxa"/>
            <w:tcBorders/>
            <w:tcMar>
              <w:bottom w:w="0" w:type="dxa"/>
            </w:tcMar>
            <w:vAlign w:val="center"/>
          </w:tcPr>
          <w:p>
            <w:pPr>
              <w:pStyle w:val="TableContents"/>
              <w:bidi w:val="0"/>
              <w:spacing w:before="0" w:after="283"/>
              <w:jc w:val="right"/>
              <w:rPr/>
            </w:pPr>
            <w:r>
              <w:rPr/>
              <w:t> </w:t>
            </w:r>
          </w:p>
        </w:tc>
        <w:tc>
          <w:tcPr>
            <w:tcW w:w="280" w:type="dxa"/>
            <w:tcBorders/>
            <w:tcMar>
              <w:bottom w:w="0" w:type="dxa"/>
            </w:tcMar>
            <w:vAlign w:val="center"/>
          </w:tcPr>
          <w:p>
            <w:pPr>
              <w:pStyle w:val="TableContents"/>
              <w:bidi w:val="0"/>
              <w:spacing w:before="0" w:after="283"/>
              <w:ind w:left="0" w:right="0" w:hanging="180"/>
              <w:jc w:val="left"/>
              <w:rPr/>
            </w:pPr>
            <w:r>
              <w:rPr/>
              <w:t> </w:t>
            </w:r>
          </w:p>
        </w:tc>
      </w:tr>
      <w:tr>
        <w:trPr/>
        <w:tc>
          <w:tcPr>
            <w:tcW w:w="1287" w:type="dxa"/>
            <w:tcBorders/>
            <w:shd w:fill="CCEEFF" w:val="clear"/>
            <w:tcMar>
              <w:bottom w:w="0" w:type="dxa"/>
            </w:tcMar>
            <w:vAlign w:val="center"/>
          </w:tcPr>
          <w:p>
            <w:pPr>
              <w:pStyle w:val="TableContents"/>
              <w:bidi w:val="0"/>
              <w:spacing w:before="0" w:after="283"/>
              <w:jc w:val="left"/>
              <w:rPr>
                <w:sz w:val="18"/>
              </w:rPr>
            </w:pPr>
            <w:r>
              <w:rPr>
                <w:sz w:val="18"/>
              </w:rPr>
              <w:t>Staples,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sz w:val="18"/>
              </w:rPr>
            </w:pPr>
            <w:r>
              <w:rPr>
                <w:sz w:val="18"/>
              </w:rPr>
              <w:t>Services: Consumer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sz w:val="18"/>
              </w:rPr>
            </w:pPr>
            <w:r>
              <w:rPr>
                <w:sz w:val="18"/>
              </w:rPr>
              <w:t>First Lien Term Loan (SOFR + 5.75%, 0.50% Floor)(14)(24)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sz w:val="18"/>
              </w:rPr>
            </w:pPr>
            <w:r>
              <w:rPr>
                <w:sz w:val="18"/>
              </w:rPr>
              <w:t>9/1/2029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1" w:type="dxa"/>
            <w:tcBorders>
              <w:bottom w:val="single" w:sz="12" w:space="0" w:color="000000"/>
            </w:tcBorders>
            <w:shd w:fill="CCEEFF" w:val="clear"/>
            <w:vAlign w:val="center"/>
          </w:tcPr>
          <w:p>
            <w:pPr>
              <w:pStyle w:val="TableContents"/>
              <w:bidi w:val="0"/>
              <w:spacing w:before="0" w:after="283"/>
              <w:jc w:val="right"/>
              <w:rPr>
                <w:sz w:val="18"/>
              </w:rPr>
            </w:pPr>
            <w:r>
              <w:rPr>
                <w:sz w:val="18"/>
              </w:rPr>
              <w:t>3,960,000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3,830,925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3,742,200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bottom w:val="single" w:sz="12" w:space="0" w:color="000000"/>
            </w:tcBorders>
            <w:shd w:fill="CCEEFF" w:val="clear"/>
            <w:vAlign w:val="center"/>
          </w:tcPr>
          <w:p>
            <w:pPr>
              <w:pStyle w:val="TableContents"/>
              <w:bidi w:val="0"/>
              <w:spacing w:before="0" w:after="283"/>
              <w:jc w:val="left"/>
              <w:rPr/>
            </w:pPr>
            <w:r>
              <w:rPr/>
              <w:t> </w:t>
            </w:r>
          </w:p>
        </w:tc>
        <w:tc>
          <w:tcPr>
            <w:tcW w:w="619" w:type="dxa"/>
            <w:tcBorders>
              <w:bottom w:val="single" w:sz="12" w:space="0" w:color="000000"/>
            </w:tcBorders>
            <w:shd w:fill="CCEEFF" w:val="clear"/>
            <w:vAlign w:val="center"/>
          </w:tcPr>
          <w:p>
            <w:pPr>
              <w:pStyle w:val="TableContents"/>
              <w:bidi w:val="0"/>
              <w:spacing w:before="0" w:after="283"/>
              <w:jc w:val="right"/>
              <w:rPr>
                <w:sz w:val="18"/>
              </w:rPr>
            </w:pPr>
            <w:r>
              <w:rPr>
                <w:sz w:val="18"/>
              </w:rPr>
              <w:t>2.33</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sz w:val="18"/>
              </w:rPr>
            </w:pPr>
            <w:r>
              <w:rPr>
                <w:sz w:val="18"/>
              </w:rPr>
              <w:t>3,960,000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3,830,925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3,742,200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sz w:val="18"/>
              </w:rPr>
            </w:pPr>
            <w:r>
              <w:rPr>
                <w:sz w:val="18"/>
              </w:rPr>
              <w:t>2.33</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0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3"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619" w:type="dxa"/>
            <w:tcBorders/>
            <w:tcMar>
              <w:bottom w:w="0" w:type="dxa"/>
            </w:tcMar>
            <w:vAlign w:val="center"/>
          </w:tcPr>
          <w:p>
            <w:pPr>
              <w:pStyle w:val="TableContents"/>
              <w:bidi w:val="0"/>
              <w:spacing w:before="0" w:after="283"/>
              <w:jc w:val="right"/>
              <w:rPr/>
            </w:pPr>
            <w:r>
              <w:rPr/>
              <w:t> </w:t>
            </w:r>
          </w:p>
        </w:tc>
        <w:tc>
          <w:tcPr>
            <w:tcW w:w="280" w:type="dxa"/>
            <w:tcBorders/>
            <w:tcMar>
              <w:bottom w:w="0" w:type="dxa"/>
            </w:tcMar>
            <w:vAlign w:val="center"/>
          </w:tcPr>
          <w:p>
            <w:pPr>
              <w:pStyle w:val="TableContents"/>
              <w:bidi w:val="0"/>
              <w:spacing w:before="0" w:after="283"/>
              <w:ind w:left="0" w:right="0" w:hanging="180"/>
              <w:jc w:val="left"/>
              <w:rPr/>
            </w:pPr>
            <w:r>
              <w:rPr/>
              <w:t> </w:t>
            </w:r>
          </w:p>
        </w:tc>
      </w:tr>
      <w:tr>
        <w:trPr/>
        <w:tc>
          <w:tcPr>
            <w:tcW w:w="1287" w:type="dxa"/>
            <w:tcBorders/>
            <w:shd w:fill="CCEEFF" w:val="clear"/>
            <w:tcMar>
              <w:bottom w:w="0" w:type="dxa"/>
            </w:tcMar>
            <w:vAlign w:val="center"/>
          </w:tcPr>
          <w:p>
            <w:pPr>
              <w:pStyle w:val="TableContents"/>
              <w:bidi w:val="0"/>
              <w:spacing w:before="0" w:after="283"/>
              <w:jc w:val="left"/>
              <w:rPr>
                <w:sz w:val="18"/>
              </w:rPr>
            </w:pPr>
            <w:r>
              <w:rPr>
                <w:sz w:val="18"/>
              </w:rPr>
              <w:t>Tamarix Capital Partners II, L.P.(11)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sz w:val="18"/>
              </w:rPr>
            </w:pPr>
            <w:r>
              <w:rPr>
                <w:sz w:val="18"/>
              </w:rPr>
              <w:t>Banking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sz w:val="18"/>
              </w:rPr>
            </w:pPr>
            <w:r>
              <w:rPr>
                <w:sz w:val="18"/>
              </w:rPr>
              <w:t>Fund Investment(8)(21)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1" w:type="dxa"/>
            <w:tcBorders>
              <w:bottom w:val="single" w:sz="12" w:space="0" w:color="000000"/>
            </w:tcBorders>
            <w:shd w:fill="CCEEFF" w:val="clear"/>
            <w:vAlign w:val="center"/>
          </w:tcPr>
          <w:p>
            <w:pPr>
              <w:pStyle w:val="TableContents"/>
              <w:bidi w:val="0"/>
              <w:spacing w:before="0" w:after="283"/>
              <w:jc w:val="right"/>
              <w:rPr/>
            </w:pPr>
            <w:r>
              <w:rPr/>
              <w:t> </w:t>
            </w:r>
            <w:r>
              <w:rPr/>
              <w:t>N/A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2,194,384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2,227,463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bottom w:val="single" w:sz="12" w:space="0" w:color="000000"/>
            </w:tcBorders>
            <w:shd w:fill="CCEEFF" w:val="clear"/>
            <w:vAlign w:val="center"/>
          </w:tcPr>
          <w:p>
            <w:pPr>
              <w:pStyle w:val="TableContents"/>
              <w:bidi w:val="0"/>
              <w:spacing w:before="0" w:after="283"/>
              <w:jc w:val="left"/>
              <w:rPr/>
            </w:pPr>
            <w:r>
              <w:rPr/>
              <w:t> </w:t>
            </w:r>
          </w:p>
        </w:tc>
        <w:tc>
          <w:tcPr>
            <w:tcW w:w="619" w:type="dxa"/>
            <w:tcBorders>
              <w:bottom w:val="single" w:sz="12" w:space="0" w:color="000000"/>
            </w:tcBorders>
            <w:shd w:fill="CCEEFF" w:val="clear"/>
            <w:vAlign w:val="center"/>
          </w:tcPr>
          <w:p>
            <w:pPr>
              <w:pStyle w:val="TableContents"/>
              <w:bidi w:val="0"/>
              <w:spacing w:before="0" w:after="283"/>
              <w:jc w:val="right"/>
              <w:rPr>
                <w:sz w:val="18"/>
              </w:rPr>
            </w:pPr>
            <w:r>
              <w:rPr>
                <w:sz w:val="18"/>
              </w:rPr>
              <w:t>1.39</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2,194,384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2,227,463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sz w:val="18"/>
              </w:rPr>
            </w:pPr>
            <w:r>
              <w:rPr>
                <w:sz w:val="18"/>
              </w:rPr>
              <w:t>1.39</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0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3"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619" w:type="dxa"/>
            <w:tcBorders/>
            <w:tcMar>
              <w:bottom w:w="0" w:type="dxa"/>
            </w:tcMar>
            <w:vAlign w:val="center"/>
          </w:tcPr>
          <w:p>
            <w:pPr>
              <w:pStyle w:val="TableContents"/>
              <w:bidi w:val="0"/>
              <w:spacing w:before="0" w:after="283"/>
              <w:jc w:val="right"/>
              <w:rPr/>
            </w:pPr>
            <w:r>
              <w:rPr/>
              <w:t> </w:t>
            </w:r>
          </w:p>
        </w:tc>
        <w:tc>
          <w:tcPr>
            <w:tcW w:w="280" w:type="dxa"/>
            <w:tcBorders/>
            <w:tcMar>
              <w:bottom w:w="0" w:type="dxa"/>
            </w:tcMar>
            <w:vAlign w:val="center"/>
          </w:tcPr>
          <w:p>
            <w:pPr>
              <w:pStyle w:val="TableContents"/>
              <w:bidi w:val="0"/>
              <w:spacing w:before="0" w:after="283"/>
              <w:ind w:left="0" w:right="0" w:hanging="180"/>
              <w:jc w:val="left"/>
              <w:rPr/>
            </w:pPr>
            <w:r>
              <w:rPr/>
              <w:t> </w:t>
            </w:r>
          </w:p>
        </w:tc>
      </w:tr>
      <w:tr>
        <w:trPr/>
        <w:tc>
          <w:tcPr>
            <w:tcW w:w="1287" w:type="dxa"/>
            <w:tcBorders/>
            <w:shd w:fill="CCEEFF" w:val="clear"/>
            <w:tcMar>
              <w:bottom w:w="0" w:type="dxa"/>
            </w:tcMar>
            <w:vAlign w:val="center"/>
          </w:tcPr>
          <w:p>
            <w:pPr>
              <w:pStyle w:val="TableContents"/>
              <w:bidi w:val="0"/>
              <w:spacing w:before="0" w:after="283"/>
              <w:jc w:val="left"/>
              <w:rPr>
                <w:sz w:val="18"/>
              </w:rPr>
            </w:pPr>
            <w:r>
              <w:rPr>
                <w:sz w:val="18"/>
              </w:rPr>
              <w:t>Thryv Holdings,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sz w:val="18"/>
              </w:rPr>
            </w:pPr>
            <w:r>
              <w:rPr>
                <w:sz w:val="18"/>
              </w:rPr>
              <w:t>Media: Broadcasting &amp; Subscription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sz w:val="18"/>
              </w:rPr>
            </w:pPr>
            <w:r>
              <w:rPr>
                <w:sz w:val="18"/>
              </w:rPr>
              <w:t>Senior Secured First Lien Term Loan (SOFR + 6.75%, 1.00% Floor)(14)(23)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sz w:val="18"/>
              </w:rPr>
            </w:pPr>
            <w:r>
              <w:rPr>
                <w:sz w:val="18"/>
              </w:rPr>
              <w:t>5/1/2029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1" w:type="dxa"/>
            <w:tcBorders>
              <w:bottom w:val="single" w:sz="12" w:space="0" w:color="000000"/>
            </w:tcBorders>
            <w:shd w:fill="CCEEFF" w:val="clear"/>
            <w:vAlign w:val="center"/>
          </w:tcPr>
          <w:p>
            <w:pPr>
              <w:pStyle w:val="TableContents"/>
              <w:bidi w:val="0"/>
              <w:spacing w:before="0" w:after="283"/>
              <w:jc w:val="right"/>
              <w:rPr>
                <w:sz w:val="18"/>
              </w:rPr>
            </w:pPr>
            <w:r>
              <w:rPr>
                <w:sz w:val="18"/>
              </w:rPr>
              <w:t>2,025,000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2,009,375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2,027,531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bottom w:val="single" w:sz="12" w:space="0" w:color="000000"/>
            </w:tcBorders>
            <w:shd w:fill="CCEEFF" w:val="clear"/>
            <w:vAlign w:val="center"/>
          </w:tcPr>
          <w:p>
            <w:pPr>
              <w:pStyle w:val="TableContents"/>
              <w:bidi w:val="0"/>
              <w:spacing w:before="0" w:after="283"/>
              <w:jc w:val="left"/>
              <w:rPr/>
            </w:pPr>
            <w:r>
              <w:rPr/>
              <w:t> </w:t>
            </w:r>
          </w:p>
        </w:tc>
        <w:tc>
          <w:tcPr>
            <w:tcW w:w="619" w:type="dxa"/>
            <w:tcBorders>
              <w:bottom w:val="single" w:sz="12" w:space="0" w:color="000000"/>
            </w:tcBorders>
            <w:shd w:fill="CCEEFF" w:val="clear"/>
            <w:vAlign w:val="center"/>
          </w:tcPr>
          <w:p>
            <w:pPr>
              <w:pStyle w:val="TableContents"/>
              <w:bidi w:val="0"/>
              <w:spacing w:before="0" w:after="283"/>
              <w:jc w:val="right"/>
              <w:rPr>
                <w:sz w:val="18"/>
              </w:rPr>
            </w:pPr>
            <w:r>
              <w:rPr>
                <w:sz w:val="18"/>
              </w:rPr>
              <w:t>1.26</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sz w:val="18"/>
              </w:rPr>
            </w:pPr>
            <w:r>
              <w:rPr>
                <w:sz w:val="18"/>
              </w:rPr>
              <w:t>2,025,000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2,009,375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2,027,531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sz w:val="18"/>
              </w:rPr>
            </w:pPr>
            <w:r>
              <w:rPr>
                <w:sz w:val="18"/>
              </w:rPr>
              <w:t>1.26</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0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3"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619" w:type="dxa"/>
            <w:tcBorders/>
            <w:tcMar>
              <w:bottom w:w="0" w:type="dxa"/>
            </w:tcMar>
            <w:vAlign w:val="center"/>
          </w:tcPr>
          <w:p>
            <w:pPr>
              <w:pStyle w:val="TableContents"/>
              <w:bidi w:val="0"/>
              <w:spacing w:before="0" w:after="283"/>
              <w:jc w:val="right"/>
              <w:rPr/>
            </w:pPr>
            <w:r>
              <w:rPr/>
              <w:t> </w:t>
            </w:r>
          </w:p>
        </w:tc>
        <w:tc>
          <w:tcPr>
            <w:tcW w:w="280" w:type="dxa"/>
            <w:tcBorders/>
            <w:tcMar>
              <w:bottom w:w="0" w:type="dxa"/>
            </w:tcMar>
            <w:vAlign w:val="center"/>
          </w:tcPr>
          <w:p>
            <w:pPr>
              <w:pStyle w:val="TableContents"/>
              <w:bidi w:val="0"/>
              <w:spacing w:before="0" w:after="283"/>
              <w:ind w:left="0" w:right="0" w:hanging="180"/>
              <w:jc w:val="left"/>
              <w:rPr/>
            </w:pPr>
            <w:r>
              <w:rPr/>
              <w:t> </w:t>
            </w:r>
          </w:p>
        </w:tc>
      </w:tr>
      <w:tr>
        <w:trPr/>
        <w:tc>
          <w:tcPr>
            <w:tcW w:w="1287" w:type="dxa"/>
            <w:tcBorders/>
            <w:shd w:fill="CCEEFF" w:val="clear"/>
            <w:tcMar>
              <w:bottom w:w="0" w:type="dxa"/>
            </w:tcMar>
            <w:vAlign w:val="center"/>
          </w:tcPr>
          <w:p>
            <w:pPr>
              <w:pStyle w:val="TableContents"/>
              <w:bidi w:val="0"/>
              <w:spacing w:before="0" w:after="283"/>
              <w:jc w:val="left"/>
              <w:rPr>
                <w:sz w:val="18"/>
              </w:rPr>
            </w:pPr>
            <w:r>
              <w:rPr>
                <w:sz w:val="18"/>
              </w:rPr>
              <w:t>WHI Global,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sz w:val="18"/>
              </w:rPr>
            </w:pPr>
            <w:r>
              <w:rPr>
                <w:sz w:val="18"/>
              </w:rPr>
              <w:t>Aerospace &amp; Defense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sz w:val="18"/>
              </w:rPr>
            </w:pPr>
            <w:r>
              <w:rPr>
                <w:sz w:val="18"/>
              </w:rPr>
              <w:t>Senior Secured Revolving Note(SOFR + CSA + 8.75%, 3.00% Floor)(8)(12)(20)(23)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sz w:val="18"/>
              </w:rPr>
            </w:pPr>
            <w:r>
              <w:rPr>
                <w:sz w:val="18"/>
              </w:rPr>
              <w:t>4/17/2029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sz w:val="18"/>
              </w:rPr>
            </w:pPr>
            <w:r>
              <w:rPr>
                <w:sz w:val="18"/>
              </w:rPr>
              <w:t>884,053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863,075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876,097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sz w:val="18"/>
              </w:rPr>
            </w:pPr>
            <w:r>
              <w:rPr>
                <w:sz w:val="18"/>
              </w:rPr>
              <w:t>0.54</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sz w:val="18"/>
              </w:rPr>
            </w:pPr>
            <w:r>
              <w:rPr>
                <w:sz w:val="18"/>
              </w:rPr>
              <w:t>Senior Secured First Lien Term Loan(SOFR + CSA + 8.75%, 3.00% Floor)(20)(23)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sz w:val="18"/>
              </w:rPr>
            </w:pPr>
            <w:r>
              <w:rPr>
                <w:sz w:val="18"/>
              </w:rPr>
              <w:t>4/17/2029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sz w:val="18"/>
              </w:rPr>
            </w:pPr>
            <w:r>
              <w:rPr>
                <w:sz w:val="18"/>
              </w:rPr>
              <w:t>12,369,840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12,256,814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12,258,511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sz w:val="18"/>
              </w:rPr>
            </w:pPr>
            <w:r>
              <w:rPr>
                <w:sz w:val="18"/>
              </w:rPr>
              <w:t>7.62</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sz w:val="18"/>
              </w:rPr>
            </w:pPr>
            <w:r>
              <w:rPr>
                <w:sz w:val="18"/>
              </w:rPr>
              <w:t>Equity - 350 Common Shares(21)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1" w:type="dxa"/>
            <w:tcBorders>
              <w:bottom w:val="single" w:sz="12" w:space="0" w:color="000000"/>
            </w:tcBorders>
            <w:shd w:fill="CCEEFF" w:val="clear"/>
            <w:vAlign w:val="center"/>
          </w:tcPr>
          <w:p>
            <w:pPr>
              <w:pStyle w:val="TableContents"/>
              <w:bidi w:val="0"/>
              <w:spacing w:before="0" w:after="283"/>
              <w:jc w:val="right"/>
              <w:rPr>
                <w:sz w:val="18"/>
              </w:rPr>
            </w:pPr>
            <w:r>
              <w:rPr>
                <w:sz w:val="18"/>
              </w:rPr>
              <w:t>350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700,000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483,284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bottom w:val="single" w:sz="12" w:space="0" w:color="000000"/>
            </w:tcBorders>
            <w:shd w:fill="CCEEFF" w:val="clear"/>
            <w:vAlign w:val="center"/>
          </w:tcPr>
          <w:p>
            <w:pPr>
              <w:pStyle w:val="TableContents"/>
              <w:bidi w:val="0"/>
              <w:spacing w:before="0" w:after="283"/>
              <w:jc w:val="left"/>
              <w:rPr/>
            </w:pPr>
            <w:r>
              <w:rPr/>
              <w:t> </w:t>
            </w:r>
          </w:p>
        </w:tc>
        <w:tc>
          <w:tcPr>
            <w:tcW w:w="619" w:type="dxa"/>
            <w:tcBorders>
              <w:bottom w:val="single" w:sz="12" w:space="0" w:color="000000"/>
            </w:tcBorders>
            <w:shd w:fill="CCEEFF" w:val="clear"/>
            <w:vAlign w:val="center"/>
          </w:tcPr>
          <w:p>
            <w:pPr>
              <w:pStyle w:val="TableContents"/>
              <w:bidi w:val="0"/>
              <w:spacing w:before="0" w:after="283"/>
              <w:jc w:val="right"/>
              <w:rPr>
                <w:sz w:val="18"/>
              </w:rPr>
            </w:pPr>
            <w:r>
              <w:rPr>
                <w:sz w:val="18"/>
              </w:rPr>
              <w:t>0.30</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sz w:val="18"/>
              </w:rPr>
            </w:pPr>
            <w:r>
              <w:rPr>
                <w:sz w:val="18"/>
              </w:rPr>
              <w:t>13,254,243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13,819,889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13,617,892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sz w:val="18"/>
              </w:rPr>
            </w:pPr>
            <w:r>
              <w:rPr>
                <w:sz w:val="18"/>
              </w:rPr>
              <w:t>8.46</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0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3"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619" w:type="dxa"/>
            <w:tcBorders/>
            <w:tcMar>
              <w:bottom w:w="0" w:type="dxa"/>
            </w:tcMar>
            <w:vAlign w:val="center"/>
          </w:tcPr>
          <w:p>
            <w:pPr>
              <w:pStyle w:val="TableContents"/>
              <w:bidi w:val="0"/>
              <w:spacing w:before="0" w:after="283"/>
              <w:jc w:val="right"/>
              <w:rPr/>
            </w:pPr>
            <w:r>
              <w:rPr/>
              <w:t> </w:t>
            </w:r>
          </w:p>
        </w:tc>
        <w:tc>
          <w:tcPr>
            <w:tcW w:w="280" w:type="dxa"/>
            <w:tcBorders/>
            <w:tcMar>
              <w:bottom w:w="0" w:type="dxa"/>
            </w:tcMar>
            <w:vAlign w:val="center"/>
          </w:tcPr>
          <w:p>
            <w:pPr>
              <w:pStyle w:val="TableContents"/>
              <w:bidi w:val="0"/>
              <w:spacing w:before="0" w:after="283"/>
              <w:ind w:left="0" w:right="0" w:hanging="180"/>
              <w:jc w:val="left"/>
              <w:rPr/>
            </w:pPr>
            <w:r>
              <w:rPr/>
              <w:t> </w:t>
            </w:r>
          </w:p>
        </w:tc>
      </w:tr>
      <w:tr>
        <w:trPr/>
        <w:tc>
          <w:tcPr>
            <w:tcW w:w="1287" w:type="dxa"/>
            <w:tcBorders/>
            <w:shd w:fill="CCEEFF" w:val="clear"/>
            <w:tcMar>
              <w:bottom w:w="0" w:type="dxa"/>
            </w:tcMar>
            <w:vAlign w:val="center"/>
          </w:tcPr>
          <w:p>
            <w:pPr>
              <w:pStyle w:val="TableContents"/>
              <w:bidi w:val="0"/>
              <w:spacing w:before="0" w:after="283"/>
              <w:jc w:val="left"/>
              <w:rPr>
                <w:sz w:val="18"/>
              </w:rPr>
            </w:pPr>
            <w:r>
              <w:rPr>
                <w:sz w:val="18"/>
              </w:rPr>
              <w:t>XYZ Roofco, LLC (dba SMC Roofing Solutions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sz w:val="18"/>
              </w:rPr>
            </w:pPr>
            <w:r>
              <w:rPr>
                <w:sz w:val="18"/>
              </w:rPr>
              <w:t>Services: Consumer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sz w:val="18"/>
              </w:rPr>
            </w:pPr>
            <w:r>
              <w:rPr>
                <w:sz w:val="18"/>
              </w:rPr>
              <w:t>First Out Term Loan (SOFR + 3.50%, 2.00% Floor)(24)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sz w:val="18"/>
              </w:rPr>
            </w:pPr>
            <w:r>
              <w:rPr>
                <w:sz w:val="18"/>
              </w:rPr>
              <w:t>10/16/2028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sz w:val="18"/>
              </w:rPr>
            </w:pPr>
            <w:r>
              <w:rPr>
                <w:sz w:val="18"/>
              </w:rPr>
              <w:t>618,546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623,442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618,546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sz w:val="18"/>
              </w:rPr>
            </w:pPr>
            <w:r>
              <w:rPr>
                <w:sz w:val="18"/>
              </w:rPr>
              <w:t>0.38</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sz w:val="18"/>
              </w:rPr>
            </w:pPr>
            <w:r>
              <w:rPr>
                <w:sz w:val="18"/>
              </w:rPr>
              <w:t>First Out Delayed Draw Term Loan (SOFR + 3.50%, 2.00% Floor)(24)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sz w:val="18"/>
              </w:rPr>
            </w:pPr>
            <w:r>
              <w:rPr>
                <w:sz w:val="18"/>
              </w:rPr>
              <w:t>10/16/2028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sz w:val="18"/>
              </w:rPr>
            </w:pPr>
            <w:r>
              <w:rPr>
                <w:sz w:val="18"/>
              </w:rPr>
              <w:t>30,950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31,933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31,128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sz w:val="18"/>
              </w:rPr>
            </w:pPr>
            <w:r>
              <w:rPr>
                <w:sz w:val="18"/>
              </w:rPr>
              <w:t>0.02</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sz w:val="18"/>
              </w:rPr>
            </w:pPr>
            <w:r>
              <w:rPr>
                <w:sz w:val="18"/>
              </w:rPr>
              <w:t>Last Out Term Loan (SOFR + 6.25% + 2.75% First Out Skim, 2.00% Floor)(24)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sz w:val="18"/>
              </w:rPr>
            </w:pPr>
            <w:r>
              <w:rPr>
                <w:sz w:val="18"/>
              </w:rPr>
              <w:t>10/16/2028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sz w:val="18"/>
              </w:rPr>
            </w:pPr>
            <w:r>
              <w:rPr>
                <w:sz w:val="18"/>
              </w:rPr>
              <w:t>1,863,568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1,859,920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1,858,909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sz w:val="18"/>
              </w:rPr>
            </w:pPr>
            <w:r>
              <w:rPr>
                <w:sz w:val="18"/>
              </w:rPr>
              <w:t>1.16</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sz w:val="18"/>
              </w:rPr>
            </w:pPr>
            <w:r>
              <w:rPr>
                <w:sz w:val="18"/>
              </w:rPr>
              <w:t>Last Out Delayed Draw Term Loan (SOFR + 6.25% + 2.75% First Out Skim, 2.00% Floor)(24)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sz w:val="18"/>
              </w:rPr>
            </w:pPr>
            <w:r>
              <w:rPr>
                <w:sz w:val="18"/>
              </w:rPr>
              <w:t>10/16/2028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1" w:type="dxa"/>
            <w:tcBorders>
              <w:bottom w:val="single" w:sz="12" w:space="0" w:color="000000"/>
            </w:tcBorders>
            <w:shd w:fill="CCEEFF" w:val="clear"/>
            <w:vAlign w:val="center"/>
          </w:tcPr>
          <w:p>
            <w:pPr>
              <w:pStyle w:val="TableContents"/>
              <w:bidi w:val="0"/>
              <w:spacing w:before="0" w:after="283"/>
              <w:jc w:val="right"/>
              <w:rPr>
                <w:sz w:val="18"/>
              </w:rPr>
            </w:pPr>
            <w:r>
              <w:rPr>
                <w:sz w:val="18"/>
              </w:rPr>
              <w:t>140,082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140,082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139,955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bottom w:val="single" w:sz="12" w:space="0" w:color="000000"/>
            </w:tcBorders>
            <w:shd w:fill="CCEEFF" w:val="clear"/>
            <w:vAlign w:val="center"/>
          </w:tcPr>
          <w:p>
            <w:pPr>
              <w:pStyle w:val="TableContents"/>
              <w:bidi w:val="0"/>
              <w:spacing w:before="0" w:after="283"/>
              <w:jc w:val="left"/>
              <w:rPr/>
            </w:pPr>
            <w:r>
              <w:rPr/>
              <w:t> </w:t>
            </w:r>
          </w:p>
        </w:tc>
        <w:tc>
          <w:tcPr>
            <w:tcW w:w="619" w:type="dxa"/>
            <w:tcBorders>
              <w:bottom w:val="single" w:sz="12" w:space="0" w:color="000000"/>
            </w:tcBorders>
            <w:shd w:fill="CCEEFF" w:val="clear"/>
            <w:vAlign w:val="center"/>
          </w:tcPr>
          <w:p>
            <w:pPr>
              <w:pStyle w:val="TableContents"/>
              <w:bidi w:val="0"/>
              <w:spacing w:before="0" w:after="283"/>
              <w:jc w:val="right"/>
              <w:rPr>
                <w:sz w:val="18"/>
              </w:rPr>
            </w:pPr>
            <w:r>
              <w:rPr>
                <w:sz w:val="18"/>
              </w:rPr>
              <w:t>0.09</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1" w:type="dxa"/>
            <w:tcBorders>
              <w:bottom w:val="single" w:sz="12" w:space="0" w:color="000000"/>
            </w:tcBorders>
            <w:shd w:fill="CCEEFF" w:val="clear"/>
            <w:vAlign w:val="center"/>
          </w:tcPr>
          <w:p>
            <w:pPr>
              <w:pStyle w:val="TableContents"/>
              <w:bidi w:val="0"/>
              <w:spacing w:before="0" w:after="283"/>
              <w:jc w:val="right"/>
              <w:rPr>
                <w:sz w:val="18"/>
              </w:rPr>
            </w:pPr>
            <w:r>
              <w:rPr>
                <w:sz w:val="18"/>
              </w:rPr>
              <w:t>2,653,146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2,655,377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2,648,538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bottom w:val="single" w:sz="12" w:space="0" w:color="000000"/>
            </w:tcBorders>
            <w:shd w:fill="CCEEFF" w:val="clear"/>
            <w:vAlign w:val="center"/>
          </w:tcPr>
          <w:p>
            <w:pPr>
              <w:pStyle w:val="TableContents"/>
              <w:bidi w:val="0"/>
              <w:spacing w:before="0" w:after="283"/>
              <w:jc w:val="left"/>
              <w:rPr/>
            </w:pPr>
            <w:r>
              <w:rPr/>
              <w:t> </w:t>
            </w:r>
          </w:p>
        </w:tc>
        <w:tc>
          <w:tcPr>
            <w:tcW w:w="619" w:type="dxa"/>
            <w:tcBorders>
              <w:bottom w:val="single" w:sz="12" w:space="0" w:color="000000"/>
            </w:tcBorders>
            <w:shd w:fill="CCEEFF" w:val="clear"/>
            <w:vAlign w:val="center"/>
          </w:tcPr>
          <w:p>
            <w:pPr>
              <w:pStyle w:val="TableContents"/>
              <w:bidi w:val="0"/>
              <w:spacing w:before="0" w:after="283"/>
              <w:jc w:val="right"/>
              <w:rPr>
                <w:sz w:val="18"/>
              </w:rPr>
            </w:pPr>
            <w:r>
              <w:rPr>
                <w:sz w:val="18"/>
              </w:rPr>
              <w:t>1.65</w:t>
            </w:r>
          </w:p>
        </w:tc>
        <w:tc>
          <w:tcPr>
            <w:tcW w:w="280"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28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0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3"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619" w:type="dxa"/>
            <w:tcBorders/>
            <w:tcMar>
              <w:bottom w:w="0" w:type="dxa"/>
            </w:tcMar>
            <w:vAlign w:val="center"/>
          </w:tcPr>
          <w:p>
            <w:pPr>
              <w:pStyle w:val="TableContents"/>
              <w:bidi w:val="0"/>
              <w:spacing w:before="0" w:after="283"/>
              <w:jc w:val="right"/>
              <w:rPr/>
            </w:pPr>
            <w:r>
              <w:rPr/>
              <w:t> </w:t>
            </w:r>
          </w:p>
        </w:tc>
        <w:tc>
          <w:tcPr>
            <w:tcW w:w="280" w:type="dxa"/>
            <w:tcBorders/>
            <w:tcMar>
              <w:bottom w:w="0" w:type="dxa"/>
            </w:tcMar>
            <w:vAlign w:val="center"/>
          </w:tcPr>
          <w:p>
            <w:pPr>
              <w:pStyle w:val="TableContents"/>
              <w:bidi w:val="0"/>
              <w:spacing w:before="0" w:after="283"/>
              <w:ind w:left="0" w:right="0" w:hanging="180"/>
              <w:jc w:val="left"/>
              <w:rPr/>
            </w:pPr>
            <w:r>
              <w:rPr/>
              <w:t> </w:t>
            </w:r>
          </w:p>
        </w:tc>
      </w:tr>
      <w:tr>
        <w:trPr/>
        <w:tc>
          <w:tcPr>
            <w:tcW w:w="5221" w:type="dxa"/>
            <w:gridSpan w:val="7"/>
            <w:tcBorders/>
            <w:shd w:fill="CCEEFF" w:val="clear"/>
            <w:tcMar>
              <w:bottom w:w="0" w:type="dxa"/>
            </w:tcMar>
            <w:vAlign w:val="center"/>
          </w:tcPr>
          <w:p>
            <w:pPr>
              <w:pStyle w:val="TableContents"/>
              <w:bidi w:val="0"/>
              <w:spacing w:before="0" w:after="283"/>
              <w:jc w:val="left"/>
              <w:rPr>
                <w:b/>
                <w:sz w:val="18"/>
              </w:rPr>
            </w:pPr>
            <w:r>
              <w:rPr>
                <w:b/>
                <w:sz w:val="18"/>
              </w:rPr>
              <w:t>Subtotal Non-Controlled/Non-Affiliated Investments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1" w:type="dxa"/>
            <w:tcBorders>
              <w:bottom w:val="single" w:sz="12" w:space="0" w:color="000000"/>
            </w:tcBorders>
            <w:shd w:fill="CCEEFF" w:val="clear"/>
            <w:vAlign w:val="center"/>
          </w:tcPr>
          <w:p>
            <w:pPr>
              <w:pStyle w:val="TableContents"/>
              <w:bidi w:val="0"/>
              <w:spacing w:before="0" w:after="283"/>
              <w:jc w:val="right"/>
              <w:rPr>
                <w:b/>
                <w:sz w:val="18"/>
              </w:rPr>
            </w:pPr>
            <w:r>
              <w:rPr>
                <w:b/>
                <w:sz w:val="18"/>
              </w:rPr>
              <w:t>104,412,066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b/>
                <w:sz w:val="18"/>
              </w:rPr>
            </w:pPr>
            <w:r>
              <w:rPr>
                <w:b/>
                <w:sz w:val="18"/>
              </w:rPr>
              <w:t>$</w:t>
            </w:r>
          </w:p>
        </w:tc>
        <w:tc>
          <w:tcPr>
            <w:tcW w:w="950" w:type="dxa"/>
            <w:tcBorders>
              <w:bottom w:val="single" w:sz="12" w:space="0" w:color="000000"/>
            </w:tcBorders>
            <w:shd w:fill="CCEEFF" w:val="clear"/>
            <w:vAlign w:val="center"/>
          </w:tcPr>
          <w:p>
            <w:pPr>
              <w:pStyle w:val="TableContents"/>
              <w:bidi w:val="0"/>
              <w:spacing w:before="0" w:after="283"/>
              <w:jc w:val="right"/>
              <w:rPr>
                <w:b/>
                <w:sz w:val="18"/>
              </w:rPr>
            </w:pPr>
            <w:r>
              <w:rPr>
                <w:b/>
                <w:sz w:val="18"/>
              </w:rPr>
              <w:t>139,342,491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b/>
                <w:sz w:val="18"/>
              </w:rPr>
            </w:pPr>
            <w:r>
              <w:rPr>
                <w:b/>
                <w:sz w:val="18"/>
              </w:rPr>
              <w:t>$</w:t>
            </w:r>
          </w:p>
        </w:tc>
        <w:tc>
          <w:tcPr>
            <w:tcW w:w="950" w:type="dxa"/>
            <w:tcBorders>
              <w:bottom w:val="single" w:sz="12" w:space="0" w:color="000000"/>
            </w:tcBorders>
            <w:shd w:fill="CCEEFF" w:val="clear"/>
            <w:vAlign w:val="center"/>
          </w:tcPr>
          <w:p>
            <w:pPr>
              <w:pStyle w:val="TableContents"/>
              <w:bidi w:val="0"/>
              <w:spacing w:before="0" w:after="283"/>
              <w:jc w:val="right"/>
              <w:rPr>
                <w:b/>
                <w:sz w:val="18"/>
              </w:rPr>
            </w:pPr>
            <w:r>
              <w:rPr>
                <w:b/>
                <w:sz w:val="18"/>
              </w:rPr>
              <w:t>145,280,169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bottom w:val="single" w:sz="12" w:space="0" w:color="000000"/>
            </w:tcBorders>
            <w:shd w:fill="CCEEFF" w:val="clear"/>
            <w:vAlign w:val="center"/>
          </w:tcPr>
          <w:p>
            <w:pPr>
              <w:pStyle w:val="TableContents"/>
              <w:bidi w:val="0"/>
              <w:spacing w:before="0" w:after="283"/>
              <w:jc w:val="left"/>
              <w:rPr/>
            </w:pPr>
            <w:r>
              <w:rPr/>
              <w:t> </w:t>
            </w:r>
          </w:p>
        </w:tc>
        <w:tc>
          <w:tcPr>
            <w:tcW w:w="619" w:type="dxa"/>
            <w:tcBorders>
              <w:bottom w:val="single" w:sz="12" w:space="0" w:color="000000"/>
            </w:tcBorders>
            <w:shd w:fill="CCEEFF" w:val="clear"/>
            <w:vAlign w:val="center"/>
          </w:tcPr>
          <w:p>
            <w:pPr>
              <w:pStyle w:val="TableContents"/>
              <w:bidi w:val="0"/>
              <w:spacing w:before="0" w:after="283"/>
              <w:jc w:val="right"/>
              <w:rPr>
                <w:b/>
                <w:sz w:val="18"/>
              </w:rPr>
            </w:pPr>
            <w:r>
              <w:rPr>
                <w:b/>
                <w:sz w:val="18"/>
              </w:rPr>
              <w:t>90.35</w:t>
            </w:r>
          </w:p>
        </w:tc>
        <w:tc>
          <w:tcPr>
            <w:tcW w:w="280" w:type="dxa"/>
            <w:tcBorders/>
            <w:shd w:fill="CCEEFF" w:val="clear"/>
            <w:tcMar>
              <w:bottom w:w="0" w:type="dxa"/>
            </w:tcMar>
            <w:vAlign w:val="center"/>
          </w:tcPr>
          <w:p>
            <w:pPr>
              <w:pStyle w:val="TableContents"/>
              <w:bidi w:val="0"/>
              <w:spacing w:before="0" w:after="283"/>
              <w:jc w:val="left"/>
              <w:rPr>
                <w:b/>
                <w:sz w:val="18"/>
              </w:rPr>
            </w:pPr>
            <w:r>
              <w:rPr>
                <w:b/>
                <w:sz w:val="18"/>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02"/>
        <w:gridCol w:w="90"/>
        <w:gridCol w:w="950"/>
        <w:gridCol w:w="90"/>
        <w:gridCol w:w="1758"/>
        <w:gridCol w:w="90"/>
        <w:gridCol w:w="755"/>
        <w:gridCol w:w="90"/>
        <w:gridCol w:w="90"/>
        <w:gridCol w:w="92"/>
        <w:gridCol w:w="975"/>
        <w:gridCol w:w="90"/>
        <w:gridCol w:w="90"/>
        <w:gridCol w:w="146"/>
        <w:gridCol w:w="993"/>
        <w:gridCol w:w="90"/>
        <w:gridCol w:w="90"/>
        <w:gridCol w:w="140"/>
        <w:gridCol w:w="950"/>
        <w:gridCol w:w="90"/>
        <w:gridCol w:w="90"/>
        <w:gridCol w:w="90"/>
        <w:gridCol w:w="785"/>
        <w:gridCol w:w="279"/>
      </w:tblGrid>
      <w:tr>
        <w:trPr/>
        <w:tc>
          <w:tcPr>
            <w:tcW w:w="1302" w:type="dxa"/>
            <w:tcBorders>
              <w:bottom w:val="single" w:sz="12" w:space="0" w:color="000000"/>
            </w:tcBorders>
            <w:vAlign w:val="center"/>
          </w:tcPr>
          <w:p>
            <w:pPr>
              <w:pStyle w:val="TableContents"/>
              <w:bidi w:val="0"/>
              <w:spacing w:before="0" w:after="283"/>
              <w:jc w:val="left"/>
              <w:rPr>
                <w:b/>
                <w:sz w:val="18"/>
              </w:rPr>
            </w:pPr>
            <w:r>
              <w:rPr>
                <w:b/>
                <w:sz w:val="18"/>
              </w:rPr>
              <w:t>Company(1)</w:t>
            </w:r>
          </w:p>
        </w:tc>
        <w:tc>
          <w:tcPr>
            <w:tcW w:w="9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283"/>
              <w:jc w:val="center"/>
              <w:rPr>
                <w:b/>
                <w:sz w:val="18"/>
              </w:rPr>
            </w:pPr>
            <w:r>
              <w:rPr>
                <w:b/>
                <w:sz w:val="18"/>
              </w:rPr>
              <w:t>Industry</w:t>
            </w:r>
          </w:p>
        </w:tc>
        <w:tc>
          <w:tcPr>
            <w:tcW w:w="90" w:type="dxa"/>
            <w:tcBorders/>
            <w:tcMar>
              <w:bottom w:w="0" w:type="dxa"/>
            </w:tcMar>
            <w:vAlign w:val="center"/>
          </w:tcPr>
          <w:p>
            <w:pPr>
              <w:pStyle w:val="TableContents"/>
              <w:bidi w:val="0"/>
              <w:spacing w:before="0" w:after="283"/>
              <w:jc w:val="left"/>
              <w:rPr/>
            </w:pPr>
            <w:r>
              <w:rPr/>
              <w:t> </w:t>
            </w:r>
          </w:p>
        </w:tc>
        <w:tc>
          <w:tcPr>
            <w:tcW w:w="1758" w:type="dxa"/>
            <w:tcBorders>
              <w:bottom w:val="single" w:sz="12" w:space="0" w:color="000000"/>
            </w:tcBorders>
            <w:vAlign w:val="center"/>
          </w:tcPr>
          <w:p>
            <w:pPr>
              <w:pStyle w:val="TableContents"/>
              <w:bidi w:val="0"/>
              <w:spacing w:before="0" w:after="283"/>
              <w:jc w:val="center"/>
              <w:rPr>
                <w:b/>
                <w:sz w:val="18"/>
              </w:rPr>
            </w:pPr>
            <w:r>
              <w:rPr>
                <w:b/>
                <w:sz w:val="18"/>
              </w:rPr>
              <w:t>Type of Investment</w:t>
            </w:r>
          </w:p>
        </w:tc>
        <w:tc>
          <w:tcPr>
            <w:tcW w:w="90" w:type="dxa"/>
            <w:tcBorders/>
            <w:tcMar>
              <w:bottom w:w="0" w:type="dxa"/>
            </w:tcMar>
            <w:vAlign w:val="center"/>
          </w:tcPr>
          <w:p>
            <w:pPr>
              <w:pStyle w:val="TableContents"/>
              <w:bidi w:val="0"/>
              <w:spacing w:before="0" w:after="283"/>
              <w:jc w:val="left"/>
              <w:rPr/>
            </w:pPr>
            <w:r>
              <w:rPr/>
              <w:t> </w:t>
            </w:r>
          </w:p>
        </w:tc>
        <w:tc>
          <w:tcPr>
            <w:tcW w:w="755" w:type="dxa"/>
            <w:tcBorders>
              <w:bottom w:val="single" w:sz="12" w:space="0" w:color="000000"/>
            </w:tcBorders>
            <w:vAlign w:val="center"/>
          </w:tcPr>
          <w:p>
            <w:pPr>
              <w:pStyle w:val="TableContents"/>
              <w:bidi w:val="0"/>
              <w:spacing w:before="0" w:after="283"/>
              <w:jc w:val="center"/>
              <w:rPr>
                <w:b/>
                <w:sz w:val="18"/>
              </w:rPr>
            </w:pPr>
            <w:r>
              <w:rPr>
                <w:b/>
                <w:sz w:val="18"/>
              </w:rPr>
              <w:t>Maturity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67" w:type="dxa"/>
            <w:gridSpan w:val="2"/>
            <w:tcBorders>
              <w:bottom w:val="single" w:sz="12" w:space="0" w:color="000000"/>
            </w:tcBorders>
            <w:vAlign w:val="center"/>
          </w:tcPr>
          <w:p>
            <w:pPr>
              <w:pStyle w:val="TableContents"/>
              <w:bidi w:val="0"/>
              <w:spacing w:before="0" w:after="283"/>
              <w:jc w:val="center"/>
              <w:rPr>
                <w:b/>
                <w:sz w:val="18"/>
              </w:rPr>
            </w:pPr>
            <w:r>
              <w:rPr>
                <w:b/>
                <w:sz w:val="18"/>
              </w:rPr>
              <w:t>Par Amount/</w:t>
              <w:br/>
              <w:t>Shares/Units(2)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9" w:type="dxa"/>
            <w:gridSpan w:val="2"/>
            <w:tcBorders>
              <w:bottom w:val="single" w:sz="12" w:space="0" w:color="000000"/>
            </w:tcBorders>
            <w:vAlign w:val="center"/>
          </w:tcPr>
          <w:p>
            <w:pPr>
              <w:pStyle w:val="TableContents"/>
              <w:bidi w:val="0"/>
              <w:spacing w:before="0" w:after="283"/>
              <w:jc w:val="center"/>
              <w:rPr>
                <w:b/>
                <w:sz w:val="18"/>
              </w:rPr>
            </w:pPr>
            <w:r>
              <w:rPr>
                <w:b/>
                <w:sz w:val="18"/>
              </w:rPr>
              <w:t>Amortized Cost(3)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0" w:type="dxa"/>
            <w:gridSpan w:val="2"/>
            <w:tcBorders>
              <w:bottom w:val="single" w:sz="12" w:space="0" w:color="000000"/>
            </w:tcBorders>
            <w:vAlign w:val="center"/>
          </w:tcPr>
          <w:p>
            <w:pPr>
              <w:pStyle w:val="TableContents"/>
              <w:bidi w:val="0"/>
              <w:spacing w:before="0" w:after="283"/>
              <w:jc w:val="center"/>
              <w:rPr>
                <w:b/>
                <w:sz w:val="18"/>
              </w:rPr>
            </w:pPr>
            <w:r>
              <w:rPr>
                <w:b/>
                <w:sz w:val="18"/>
              </w:rPr>
              <w:t>Fair Value(4)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center"/>
              <w:rPr>
                <w:b/>
                <w:sz w:val="18"/>
              </w:rPr>
            </w:pPr>
            <w:r>
              <w:rPr>
                <w:b/>
                <w:sz w:val="18"/>
              </w:rPr>
              <w:t>% of Net</w:t>
              <w:br/>
              <w:t>Assets(5)</w:t>
            </w:r>
          </w:p>
        </w:tc>
        <w:tc>
          <w:tcPr>
            <w:tcW w:w="279" w:type="dxa"/>
            <w:tcBorders/>
            <w:tcMar>
              <w:bottom w:w="0" w:type="dxa"/>
            </w:tcMar>
            <w:vAlign w:val="center"/>
          </w:tcPr>
          <w:p>
            <w:pPr>
              <w:pStyle w:val="TableContents"/>
              <w:bidi w:val="0"/>
              <w:spacing w:before="0" w:after="283"/>
              <w:jc w:val="left"/>
              <w:rPr/>
            </w:pPr>
            <w:r>
              <w:rPr/>
              <w:t> </w:t>
            </w:r>
          </w:p>
        </w:tc>
      </w:tr>
      <w:tr>
        <w:trPr/>
        <w:tc>
          <w:tcPr>
            <w:tcW w:w="2342" w:type="dxa"/>
            <w:gridSpan w:val="3"/>
            <w:tcBorders/>
            <w:tcMar>
              <w:bottom w:w="0" w:type="dxa"/>
            </w:tcMar>
            <w:vAlign w:val="center"/>
          </w:tcPr>
          <w:p>
            <w:pPr>
              <w:pStyle w:val="TableContents"/>
              <w:bidi w:val="0"/>
              <w:spacing w:before="0" w:after="283"/>
              <w:jc w:val="left"/>
              <w:rPr>
                <w:b/>
                <w:sz w:val="18"/>
                <w:u w:val="single"/>
              </w:rPr>
            </w:pPr>
            <w:r>
              <w:rPr>
                <w:b/>
                <w:sz w:val="18"/>
                <w:u w:val="single"/>
              </w:rPr>
              <w:t>Affiliated Investments:(6)</w:t>
            </w:r>
          </w:p>
        </w:tc>
        <w:tc>
          <w:tcPr>
            <w:tcW w:w="90" w:type="dxa"/>
            <w:tcBorders/>
            <w:tcMar>
              <w:bottom w:w="0" w:type="dxa"/>
            </w:tcMar>
            <w:vAlign w:val="center"/>
          </w:tcPr>
          <w:p>
            <w:pPr>
              <w:pStyle w:val="TableContents"/>
              <w:bidi w:val="0"/>
              <w:spacing w:before="0" w:after="283"/>
              <w:jc w:val="left"/>
              <w:rPr/>
            </w:pPr>
            <w:r>
              <w:rPr/>
              <w:t> </w:t>
            </w:r>
          </w:p>
        </w:tc>
        <w:tc>
          <w:tcPr>
            <w:tcW w:w="17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99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1302" w:type="dxa"/>
            <w:tcBorders/>
            <w:shd w:fill="CCEEFF" w:val="clear"/>
            <w:tcMar>
              <w:bottom w:w="0" w:type="dxa"/>
            </w:tcMar>
            <w:vAlign w:val="center"/>
          </w:tcPr>
          <w:p>
            <w:pPr>
              <w:pStyle w:val="TableContents"/>
              <w:bidi w:val="0"/>
              <w:spacing w:before="0" w:after="283"/>
              <w:jc w:val="left"/>
              <w:rPr>
                <w:sz w:val="18"/>
              </w:rPr>
            </w:pPr>
            <w:r>
              <w:rPr>
                <w:sz w:val="18"/>
              </w:rPr>
              <w:t>Advocates for  Disabled Vets, LLC (dba Reps for Vets)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sz w:val="18"/>
              </w:rPr>
            </w:pPr>
            <w:r>
              <w:rPr>
                <w:sz w:val="18"/>
              </w:rPr>
              <w:t>Services: Consumer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sz w:val="18"/>
              </w:rPr>
            </w:pPr>
            <w:r>
              <w:rPr>
                <w:sz w:val="18"/>
              </w:rPr>
              <w:t>12% Senior Secured First Lien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sz w:val="18"/>
              </w:rPr>
            </w:pPr>
            <w:r>
              <w:rPr>
                <w:sz w:val="18"/>
              </w:rPr>
              <w:t>3/7/2030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sz w:val="18"/>
              </w:rPr>
            </w:pPr>
            <w:r>
              <w:rPr>
                <w:sz w:val="18"/>
              </w:rPr>
              <w:t>8,932,500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sz w:val="18"/>
              </w:rPr>
            </w:pPr>
            <w:r>
              <w:rPr>
                <w:sz w:val="18"/>
              </w:rPr>
              <w:t>8,770,471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8,798,513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       </w:t>
            </w:r>
            <w:r>
              <w:rPr>
                <w:sz w:val="18"/>
              </w:rPr>
              <w:t>5.47</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sz w:val="18"/>
              </w:rPr>
            </w:pPr>
            <w:r>
              <w:rPr>
                <w:sz w:val="18"/>
              </w:rPr>
              <w:t>Equity - 3,375,000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5" w:type="dxa"/>
            <w:tcBorders>
              <w:bottom w:val="single" w:sz="12" w:space="0" w:color="000000"/>
            </w:tcBorders>
            <w:shd w:fill="CCEEFF" w:val="clear"/>
            <w:vAlign w:val="center"/>
          </w:tcPr>
          <w:p>
            <w:pPr>
              <w:pStyle w:val="TableContents"/>
              <w:bidi w:val="0"/>
              <w:spacing w:before="0" w:after="283"/>
              <w:jc w:val="right"/>
              <w:rPr>
                <w:sz w:val="18"/>
              </w:rPr>
            </w:pPr>
            <w:r>
              <w:rPr>
                <w:sz w:val="18"/>
              </w:rPr>
              <w:t>3,375,000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993" w:type="dxa"/>
            <w:tcBorders>
              <w:bottom w:val="single" w:sz="12" w:space="0" w:color="000000"/>
            </w:tcBorders>
            <w:shd w:fill="CCEEFF" w:val="clear"/>
            <w:vAlign w:val="center"/>
          </w:tcPr>
          <w:p>
            <w:pPr>
              <w:pStyle w:val="TableContents"/>
              <w:bidi w:val="0"/>
              <w:spacing w:before="0" w:after="283"/>
              <w:jc w:val="right"/>
              <w:rPr>
                <w:sz w:val="18"/>
              </w:rPr>
            </w:pPr>
            <w:r>
              <w:rPr>
                <w:sz w:val="18"/>
              </w:rPr>
              <w:t>3,375,000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3,359,511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sz w:val="18"/>
              </w:rPr>
            </w:pPr>
            <w:r>
              <w:rPr>
                <w:sz w:val="18"/>
              </w:rPr>
              <w:t>2.09</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sz w:val="18"/>
              </w:rPr>
            </w:pPr>
            <w:r>
              <w:rPr>
                <w:sz w:val="18"/>
              </w:rPr>
              <w:t>12,307,500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sz w:val="18"/>
              </w:rPr>
            </w:pPr>
            <w:r>
              <w:rPr>
                <w:sz w:val="18"/>
              </w:rPr>
              <w:t>12,145,471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12,158,024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7.56</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99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1302" w:type="dxa"/>
            <w:tcBorders/>
            <w:shd w:fill="CCEEFF" w:val="clear"/>
            <w:tcMar>
              <w:bottom w:w="0" w:type="dxa"/>
            </w:tcMar>
            <w:vAlign w:val="center"/>
          </w:tcPr>
          <w:p>
            <w:pPr>
              <w:pStyle w:val="TableContents"/>
              <w:bidi w:val="0"/>
              <w:spacing w:before="0" w:after="283"/>
              <w:jc w:val="left"/>
              <w:rPr>
                <w:sz w:val="18"/>
              </w:rPr>
            </w:pPr>
            <w:r>
              <w:rPr>
                <w:sz w:val="18"/>
              </w:rPr>
              <w:t>FST Holdings Parent,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sz w:val="18"/>
              </w:rPr>
            </w:pPr>
            <w:r>
              <w:rPr>
                <w:sz w:val="18"/>
              </w:rPr>
              <w:t>High Tech Industries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sz w:val="18"/>
              </w:rPr>
            </w:pPr>
            <w:r>
              <w:rPr>
                <w:sz w:val="18"/>
              </w:rPr>
              <w:t>Equity - 625,548 Class A Units(17)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5" w:type="dxa"/>
            <w:tcBorders>
              <w:bottom w:val="single" w:sz="12" w:space="0" w:color="000000"/>
            </w:tcBorders>
            <w:shd w:fill="CCEEFF" w:val="clear"/>
            <w:vAlign w:val="center"/>
          </w:tcPr>
          <w:p>
            <w:pPr>
              <w:pStyle w:val="TableContents"/>
              <w:bidi w:val="0"/>
              <w:spacing w:before="0" w:after="283"/>
              <w:jc w:val="right"/>
              <w:rPr>
                <w:sz w:val="18"/>
              </w:rPr>
            </w:pPr>
            <w:r>
              <w:rPr>
                <w:sz w:val="18"/>
              </w:rPr>
              <w:t>625,548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993" w:type="dxa"/>
            <w:tcBorders>
              <w:bottom w:val="single" w:sz="12" w:space="0" w:color="000000"/>
            </w:tcBorders>
            <w:shd w:fill="CCEEFF" w:val="clear"/>
            <w:vAlign w:val="center"/>
          </w:tcPr>
          <w:p>
            <w:pPr>
              <w:pStyle w:val="TableContents"/>
              <w:bidi w:val="0"/>
              <w:spacing w:before="0" w:after="283"/>
              <w:jc w:val="right"/>
              <w:rPr>
                <w:sz w:val="18"/>
              </w:rPr>
            </w:pPr>
            <w:r>
              <w:rPr>
                <w:sz w:val="18"/>
              </w:rPr>
              <w:t>10,008,289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10,960,741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sz w:val="18"/>
              </w:rPr>
            </w:pPr>
            <w:r>
              <w:rPr>
                <w:sz w:val="18"/>
              </w:rPr>
              <w:t>6.82</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sz w:val="18"/>
              </w:rPr>
            </w:pPr>
            <w:r>
              <w:rPr>
                <w:sz w:val="18"/>
              </w:rPr>
              <w:t>625,548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sz w:val="18"/>
              </w:rPr>
            </w:pPr>
            <w:r>
              <w:rPr>
                <w:sz w:val="18"/>
              </w:rPr>
              <w:t>10,008,289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10,960,741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6.82</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99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1302" w:type="dxa"/>
            <w:tcBorders/>
            <w:shd w:fill="CCEEFF" w:val="clear"/>
            <w:tcMar>
              <w:bottom w:w="0" w:type="dxa"/>
            </w:tcMar>
            <w:vAlign w:val="center"/>
          </w:tcPr>
          <w:p>
            <w:pPr>
              <w:pStyle w:val="TableContents"/>
              <w:bidi w:val="0"/>
              <w:spacing w:before="0" w:after="283"/>
              <w:jc w:val="left"/>
              <w:rPr>
                <w:sz w:val="18"/>
              </w:rPr>
            </w:pPr>
            <w:r>
              <w:rPr>
                <w:sz w:val="18"/>
              </w:rPr>
              <w:t>MB Precision Investment Holdings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sz w:val="18"/>
              </w:rPr>
            </w:pPr>
            <w:r>
              <w:rPr>
                <w:sz w:val="18"/>
              </w:rPr>
              <w:t>Aerospace &amp; Defense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sz w:val="18"/>
              </w:rPr>
            </w:pPr>
            <w:r>
              <w:rPr>
                <w:sz w:val="18"/>
              </w:rPr>
              <w:t>Senior Secured First Lien Term Loan(SOFR + CSA + 8.00%, 4.00% Floor)(20)(24)(27)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sz w:val="18"/>
              </w:rPr>
            </w:pPr>
            <w:r>
              <w:rPr>
                <w:sz w:val="18"/>
              </w:rPr>
              <w:t>9/30/2028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sz w:val="18"/>
              </w:rPr>
            </w:pPr>
            <w:r>
              <w:rPr>
                <w:sz w:val="18"/>
              </w:rPr>
              <w:t>6,843,380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sz w:val="18"/>
              </w:rPr>
            </w:pPr>
            <w:r>
              <w:rPr>
                <w:sz w:val="18"/>
              </w:rPr>
              <w:t>6,696,228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6,398,561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3.98</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sz w:val="18"/>
              </w:rPr>
            </w:pPr>
            <w:r>
              <w:rPr>
                <w:sz w:val="18"/>
              </w:rPr>
              <w:t>Senior Secured Delayed Draw Term Loan(SOFR + CSA + 10.00%, 4.00% Floor)(8)(20)(24)(27)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sz w:val="18"/>
              </w:rPr>
            </w:pPr>
            <w:r>
              <w:rPr>
                <w:sz w:val="18"/>
              </w:rPr>
              <w:t>10/1/2028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sz w:val="18"/>
              </w:rPr>
            </w:pPr>
            <w:r>
              <w:rPr>
                <w:sz w:val="18"/>
              </w:rPr>
              <w:t>505,470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sz w:val="18"/>
              </w:rPr>
            </w:pPr>
            <w:r>
              <w:rPr>
                <w:sz w:val="18"/>
              </w:rPr>
              <w:t>468,621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490,306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0.30</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sz w:val="18"/>
              </w:rPr>
            </w:pPr>
            <w:r>
              <w:rPr>
                <w:sz w:val="18"/>
              </w:rPr>
              <w:t>Senior Secured First Lien Revolver(SOFR + CSA + 8.00%, 4.00% Floor)(8)(12)(20)(24)(27)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sz w:val="18"/>
              </w:rPr>
            </w:pPr>
            <w:r>
              <w:rPr>
                <w:sz w:val="18"/>
              </w:rPr>
              <w:t>9/30/2028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sz w:val="18"/>
              </w:rPr>
            </w:pPr>
            <w:r>
              <w:rPr>
                <w:sz w:val="18"/>
              </w:rPr>
              <w:t>2,112,671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sz w:val="18"/>
              </w:rPr>
            </w:pPr>
            <w:r>
              <w:rPr>
                <w:sz w:val="18"/>
              </w:rPr>
              <w:t>2,077,048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1,975,347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1.23</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sz w:val="18"/>
              </w:rPr>
            </w:pPr>
            <w:r>
              <w:rPr>
                <w:sz w:val="18"/>
              </w:rPr>
              <w:t>Equity - Class E Preferred Units(21)(27)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sz w:val="18"/>
              </w:rPr>
            </w:pPr>
            <w:r>
              <w:rPr>
                <w:sz w:val="18"/>
              </w:rPr>
              <w:t>4,106,076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sz w:val="18"/>
              </w:rPr>
            </w:pPr>
            <w:r>
              <w:rPr>
                <w:sz w:val="18"/>
              </w:rPr>
              <w:t>3,167,157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2,725,408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1.70</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sz w:val="18"/>
              </w:rPr>
            </w:pPr>
            <w:r>
              <w:rPr>
                <w:sz w:val="18"/>
              </w:rPr>
              <w:t>Warrants - 2.28% of Outstanding Equity(21)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5" w:type="dxa"/>
            <w:tcBorders>
              <w:bottom w:val="single" w:sz="12" w:space="0" w:color="000000"/>
            </w:tcBorders>
            <w:shd w:fill="CCEEFF" w:val="clear"/>
            <w:vAlign w:val="center"/>
          </w:tcPr>
          <w:p>
            <w:pPr>
              <w:pStyle w:val="TableContents"/>
              <w:bidi w:val="0"/>
              <w:spacing w:before="0" w:after="283"/>
              <w:jc w:val="right"/>
              <w:rPr>
                <w:sz w:val="18"/>
              </w:rPr>
            </w:pPr>
            <w:r>
              <w:rPr>
                <w:sz w:val="18"/>
              </w:rPr>
              <w:t>3,380,282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993" w:type="dxa"/>
            <w:tcBorders>
              <w:bottom w:val="single" w:sz="12" w:space="0" w:color="000000"/>
            </w:tcBorders>
            <w:shd w:fill="CCEEFF" w:val="clear"/>
            <w:vAlign w:val="center"/>
          </w:tcPr>
          <w:p>
            <w:pPr>
              <w:pStyle w:val="TableContents"/>
              <w:bidi w:val="0"/>
              <w:spacing w:before="0" w:after="283"/>
              <w:jc w:val="right"/>
              <w:rPr>
                <w:sz w:val="18"/>
              </w:rPr>
            </w:pPr>
            <w:r>
              <w:rPr>
                <w:sz w:val="18"/>
              </w:rPr>
              <w:t>827,409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673,018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sz w:val="18"/>
              </w:rPr>
            </w:pPr>
            <w:r>
              <w:rPr>
                <w:sz w:val="18"/>
              </w:rPr>
              <w:t>0.42</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5" w:type="dxa"/>
            <w:tcBorders>
              <w:bottom w:val="single" w:sz="12" w:space="0" w:color="000000"/>
            </w:tcBorders>
            <w:shd w:fill="CCEEFF" w:val="clear"/>
            <w:vAlign w:val="center"/>
          </w:tcPr>
          <w:p>
            <w:pPr>
              <w:pStyle w:val="TableContents"/>
              <w:bidi w:val="0"/>
              <w:spacing w:before="0" w:after="283"/>
              <w:jc w:val="right"/>
              <w:rPr>
                <w:sz w:val="18"/>
              </w:rPr>
            </w:pPr>
            <w:r>
              <w:rPr>
                <w:sz w:val="18"/>
              </w:rPr>
              <w:t>16,947,879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993" w:type="dxa"/>
            <w:tcBorders>
              <w:bottom w:val="single" w:sz="12" w:space="0" w:color="000000"/>
            </w:tcBorders>
            <w:shd w:fill="CCEEFF" w:val="clear"/>
            <w:vAlign w:val="center"/>
          </w:tcPr>
          <w:p>
            <w:pPr>
              <w:pStyle w:val="TableContents"/>
              <w:bidi w:val="0"/>
              <w:spacing w:before="0" w:after="283"/>
              <w:jc w:val="right"/>
              <w:rPr>
                <w:sz w:val="18"/>
              </w:rPr>
            </w:pPr>
            <w:r>
              <w:rPr>
                <w:sz w:val="18"/>
              </w:rPr>
              <w:t>13,236,463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12,262,640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sz w:val="18"/>
              </w:rPr>
            </w:pPr>
            <w:r>
              <w:rPr>
                <w:sz w:val="18"/>
              </w:rPr>
              <w:t>7.63</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99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4280" w:type="dxa"/>
            <w:gridSpan w:val="6"/>
            <w:tcBorders/>
            <w:shd w:fill="CCEEFF" w:val="clear"/>
            <w:tcMar>
              <w:bottom w:w="0" w:type="dxa"/>
            </w:tcMar>
            <w:vAlign w:val="center"/>
          </w:tcPr>
          <w:p>
            <w:pPr>
              <w:pStyle w:val="TableContents"/>
              <w:bidi w:val="0"/>
              <w:spacing w:before="0" w:after="283"/>
              <w:jc w:val="left"/>
              <w:rPr>
                <w:b/>
                <w:sz w:val="18"/>
              </w:rPr>
            </w:pPr>
            <w:r>
              <w:rPr>
                <w:b/>
                <w:sz w:val="18"/>
              </w:rPr>
              <w:t>Subtotal Affiliated Investments</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5" w:type="dxa"/>
            <w:tcBorders>
              <w:bottom w:val="single" w:sz="12" w:space="0" w:color="000000"/>
            </w:tcBorders>
            <w:shd w:fill="CCEEFF" w:val="clear"/>
            <w:vAlign w:val="center"/>
          </w:tcPr>
          <w:p>
            <w:pPr>
              <w:pStyle w:val="TableContents"/>
              <w:bidi w:val="0"/>
              <w:spacing w:before="0" w:after="283"/>
              <w:jc w:val="right"/>
              <w:rPr>
                <w:b/>
                <w:sz w:val="18"/>
              </w:rPr>
            </w:pPr>
            <w:r>
              <w:rPr>
                <w:b/>
                <w:sz w:val="18"/>
              </w:rPr>
              <w:t>29,880,927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b/>
                <w:sz w:val="18"/>
              </w:rPr>
            </w:pPr>
            <w:r>
              <w:rPr>
                <w:b/>
                <w:sz w:val="18"/>
              </w:rPr>
              <w:t>$</w:t>
            </w:r>
          </w:p>
        </w:tc>
        <w:tc>
          <w:tcPr>
            <w:tcW w:w="993" w:type="dxa"/>
            <w:tcBorders>
              <w:bottom w:val="single" w:sz="12" w:space="0" w:color="000000"/>
            </w:tcBorders>
            <w:shd w:fill="CCEEFF" w:val="clear"/>
            <w:vAlign w:val="center"/>
          </w:tcPr>
          <w:p>
            <w:pPr>
              <w:pStyle w:val="TableContents"/>
              <w:bidi w:val="0"/>
              <w:spacing w:before="0" w:after="283"/>
              <w:jc w:val="right"/>
              <w:rPr>
                <w:b/>
                <w:sz w:val="18"/>
              </w:rPr>
            </w:pPr>
            <w:r>
              <w:rPr>
                <w:b/>
                <w:sz w:val="18"/>
              </w:rPr>
              <w:t>35,390,223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b/>
                <w:sz w:val="18"/>
              </w:rPr>
            </w:pPr>
            <w:r>
              <w:rPr>
                <w:b/>
                <w:sz w:val="18"/>
              </w:rPr>
              <w:t>$</w:t>
            </w:r>
          </w:p>
        </w:tc>
        <w:tc>
          <w:tcPr>
            <w:tcW w:w="950" w:type="dxa"/>
            <w:tcBorders>
              <w:bottom w:val="single" w:sz="12" w:space="0" w:color="000000"/>
            </w:tcBorders>
            <w:shd w:fill="CCEEFF" w:val="clear"/>
            <w:vAlign w:val="center"/>
          </w:tcPr>
          <w:p>
            <w:pPr>
              <w:pStyle w:val="TableContents"/>
              <w:bidi w:val="0"/>
              <w:spacing w:before="0" w:after="283"/>
              <w:jc w:val="right"/>
              <w:rPr>
                <w:b/>
                <w:sz w:val="18"/>
              </w:rPr>
            </w:pPr>
            <w:r>
              <w:rPr>
                <w:b/>
                <w:sz w:val="18"/>
              </w:rPr>
              <w:t>35,381,405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b/>
                <w:sz w:val="18"/>
              </w:rPr>
            </w:pPr>
            <w:r>
              <w:rPr>
                <w:b/>
                <w:sz w:val="18"/>
              </w:rPr>
              <w:t>22.01</w:t>
            </w:r>
          </w:p>
        </w:tc>
        <w:tc>
          <w:tcPr>
            <w:tcW w:w="279" w:type="dxa"/>
            <w:tcBorders/>
            <w:shd w:fill="CCEEFF" w:val="clear"/>
            <w:tcMar>
              <w:bottom w:w="0" w:type="dxa"/>
            </w:tcMar>
            <w:vAlign w:val="center"/>
          </w:tcPr>
          <w:p>
            <w:pPr>
              <w:pStyle w:val="TableContents"/>
              <w:bidi w:val="0"/>
              <w:spacing w:before="0" w:after="283"/>
              <w:ind w:left="0" w:right="0" w:hanging="180"/>
              <w:jc w:val="left"/>
              <w:rPr>
                <w:b/>
                <w:sz w:val="18"/>
              </w:rPr>
            </w:pPr>
            <w:r>
              <w:rPr>
                <w:b/>
                <w:sz w:val="18"/>
              </w:rPr>
              <w:t>%</w:t>
            </w:r>
          </w:p>
        </w:tc>
      </w:tr>
      <w:tr>
        <w:trPr/>
        <w:tc>
          <w:tcPr>
            <w:tcW w:w="4190" w:type="dxa"/>
            <w:gridSpan w:val="5"/>
            <w:tcBorders/>
            <w:tcMar>
              <w:bottom w:w="0" w:type="dxa"/>
            </w:tcMar>
            <w:vAlign w:val="center"/>
          </w:tcPr>
          <w:p>
            <w:pPr>
              <w:pStyle w:val="TableContents"/>
              <w:bidi w:val="0"/>
              <w:spacing w:before="0" w:after="283"/>
              <w:jc w:val="left"/>
              <w:rPr>
                <w:b/>
                <w:sz w:val="18"/>
                <w:u w:val="single"/>
              </w:rPr>
            </w:pPr>
            <w:r>
              <w:rPr>
                <w:b/>
                <w:sz w:val="18"/>
                <w:u w:val="single"/>
              </w:rPr>
              <w:t>Controlled Investments:(7)</w:t>
            </w:r>
          </w:p>
        </w:tc>
        <w:tc>
          <w:tcPr>
            <w:tcW w:w="9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99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1302" w:type="dxa"/>
            <w:tcBorders/>
            <w:shd w:fill="CCEEFF" w:val="clear"/>
            <w:tcMar>
              <w:bottom w:w="0" w:type="dxa"/>
            </w:tcMar>
            <w:vAlign w:val="center"/>
          </w:tcPr>
          <w:p>
            <w:pPr>
              <w:pStyle w:val="TableContents"/>
              <w:bidi w:val="0"/>
              <w:spacing w:before="0" w:after="283"/>
              <w:jc w:val="left"/>
              <w:rPr>
                <w:sz w:val="18"/>
              </w:rPr>
            </w:pPr>
            <w:r>
              <w:rPr>
                <w:sz w:val="18"/>
              </w:rPr>
              <w:t>ECC Capital Corp.</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sz w:val="18"/>
              </w:rPr>
            </w:pPr>
            <w:r>
              <w:rPr>
                <w:sz w:val="18"/>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sz w:val="18"/>
              </w:rPr>
            </w:pPr>
            <w:r>
              <w:rPr>
                <w:sz w:val="18"/>
              </w:rPr>
              <w:t>Equity - 84,000,000 Units(13)(21)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sz w:val="18"/>
              </w:rPr>
            </w:pPr>
            <w:r>
              <w:rPr>
                <w:sz w:val="18"/>
              </w:rPr>
              <w:t>84,000,000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sz w:val="18"/>
              </w:rPr>
            </w:pPr>
            <w:r>
              <w:rPr>
                <w:sz w:val="18"/>
              </w:rPr>
              <w:t>$</w:t>
            </w:r>
          </w:p>
        </w:tc>
        <w:tc>
          <w:tcPr>
            <w:tcW w:w="993" w:type="dxa"/>
            <w:tcBorders/>
            <w:shd w:fill="CCEEFF" w:val="clear"/>
            <w:tcMar>
              <w:bottom w:w="0" w:type="dxa"/>
            </w:tcMar>
            <w:vAlign w:val="center"/>
          </w:tcPr>
          <w:p>
            <w:pPr>
              <w:pStyle w:val="TableContents"/>
              <w:bidi w:val="0"/>
              <w:spacing w:before="0" w:after="283"/>
              <w:jc w:val="right"/>
              <w:rPr>
                <w:sz w:val="18"/>
              </w:rPr>
            </w:pPr>
            <w:r>
              <w:rPr>
                <w:sz w:val="18"/>
              </w:rPr>
              <w:t>4,257,002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18"/>
              </w:rPr>
            </w:pPr>
            <w:r>
              <w:rPr>
                <w:sz w:val="18"/>
              </w:rPr>
              <w:t>$</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6,636,000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4.13</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sz w:val="18"/>
              </w:rPr>
            </w:pPr>
            <w:r>
              <w:rPr>
                <w:sz w:val="18"/>
              </w:rPr>
              <w:t>Senior Secured Promissory Note (SOFR + 5.00%, 0.00% Floor)(24)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sz w:val="18"/>
              </w:rPr>
            </w:pPr>
            <w:r>
              <w:rPr>
                <w:sz w:val="18"/>
              </w:rPr>
              <w:t>12/31/2031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5" w:type="dxa"/>
            <w:tcBorders>
              <w:bottom w:val="single" w:sz="12" w:space="0" w:color="000000"/>
            </w:tcBorders>
            <w:shd w:fill="CCEEFF" w:val="clear"/>
            <w:vAlign w:val="center"/>
          </w:tcPr>
          <w:p>
            <w:pPr>
              <w:pStyle w:val="TableContents"/>
              <w:bidi w:val="0"/>
              <w:spacing w:before="0" w:after="283"/>
              <w:jc w:val="right"/>
              <w:rPr>
                <w:sz w:val="18"/>
              </w:rPr>
            </w:pPr>
            <w:r>
              <w:rPr>
                <w:sz w:val="18"/>
              </w:rPr>
              <w:t>6,997,012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993" w:type="dxa"/>
            <w:tcBorders>
              <w:bottom w:val="single" w:sz="12" w:space="0" w:color="000000"/>
            </w:tcBorders>
            <w:shd w:fill="CCEEFF" w:val="clear"/>
            <w:vAlign w:val="center"/>
          </w:tcPr>
          <w:p>
            <w:pPr>
              <w:pStyle w:val="TableContents"/>
              <w:bidi w:val="0"/>
              <w:spacing w:before="0" w:after="283"/>
              <w:jc w:val="right"/>
              <w:rPr>
                <w:sz w:val="18"/>
              </w:rPr>
            </w:pPr>
            <w:r>
              <w:rPr>
                <w:sz w:val="18"/>
              </w:rPr>
              <w:t>6,997,012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6,997,012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sz w:val="18"/>
              </w:rPr>
            </w:pPr>
            <w:r>
              <w:rPr>
                <w:sz w:val="18"/>
              </w:rPr>
              <w:t>4.35</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sz w:val="18"/>
              </w:rPr>
            </w:pPr>
            <w:r>
              <w:rPr>
                <w:sz w:val="18"/>
              </w:rPr>
              <w:t>90,997,012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sz w:val="18"/>
              </w:rPr>
            </w:pPr>
            <w:r>
              <w:rPr>
                <w:sz w:val="18"/>
              </w:rPr>
              <w:t>11,254,014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13,633,012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8.48</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99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1302" w:type="dxa"/>
            <w:tcBorders/>
            <w:shd w:fill="CCEEFF" w:val="clear"/>
            <w:tcMar>
              <w:bottom w:w="0" w:type="dxa"/>
            </w:tcMar>
            <w:vAlign w:val="center"/>
          </w:tcPr>
          <w:p>
            <w:pPr>
              <w:pStyle w:val="TableContents"/>
              <w:bidi w:val="0"/>
              <w:spacing w:before="0" w:after="283"/>
              <w:jc w:val="left"/>
              <w:rPr>
                <w:sz w:val="18"/>
              </w:rPr>
            </w:pPr>
            <w:r>
              <w:rPr>
                <w:sz w:val="18"/>
              </w:rPr>
              <w:t>FlexFIN,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sz w:val="18"/>
              </w:rPr>
            </w:pPr>
            <w:r>
              <w:rPr>
                <w:sz w:val="18"/>
              </w:rPr>
              <w:t>Services: Business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sz w:val="18"/>
              </w:rPr>
            </w:pPr>
            <w:r>
              <w:rPr>
                <w:sz w:val="18"/>
              </w:rPr>
              <w:t>Equity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5" w:type="dxa"/>
            <w:tcBorders>
              <w:bottom w:val="single" w:sz="12" w:space="0" w:color="000000"/>
            </w:tcBorders>
            <w:shd w:fill="CCEEFF" w:val="clear"/>
            <w:vAlign w:val="center"/>
          </w:tcPr>
          <w:p>
            <w:pPr>
              <w:pStyle w:val="TableContents"/>
              <w:bidi w:val="0"/>
              <w:spacing w:before="0" w:after="283"/>
              <w:jc w:val="right"/>
              <w:rPr>
                <w:sz w:val="18"/>
              </w:rPr>
            </w:pPr>
            <w:r>
              <w:rPr>
                <w:sz w:val="18"/>
              </w:rPr>
              <w:t>37,180,761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993" w:type="dxa"/>
            <w:tcBorders>
              <w:bottom w:val="single" w:sz="12" w:space="0" w:color="000000"/>
            </w:tcBorders>
            <w:shd w:fill="CCEEFF" w:val="clear"/>
            <w:vAlign w:val="center"/>
          </w:tcPr>
          <w:p>
            <w:pPr>
              <w:pStyle w:val="TableContents"/>
              <w:bidi w:val="0"/>
              <w:spacing w:before="0" w:after="283"/>
              <w:jc w:val="right"/>
              <w:rPr>
                <w:sz w:val="18"/>
              </w:rPr>
            </w:pPr>
            <w:r>
              <w:rPr>
                <w:sz w:val="18"/>
              </w:rPr>
              <w:t>37,180,761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37,180,761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sz w:val="18"/>
              </w:rPr>
            </w:pPr>
            <w:r>
              <w:rPr>
                <w:sz w:val="18"/>
              </w:rPr>
              <w:t>23.13</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sz w:val="18"/>
              </w:rPr>
            </w:pPr>
            <w:r>
              <w:rPr>
                <w:sz w:val="18"/>
              </w:rPr>
              <w:t>37,180,761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sz w:val="18"/>
              </w:rPr>
            </w:pPr>
            <w:r>
              <w:rPr>
                <w:sz w:val="18"/>
              </w:rPr>
              <w:t>37,180,761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37,180,761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23.13</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99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1302" w:type="dxa"/>
            <w:tcBorders/>
            <w:shd w:fill="CCEEFF" w:val="clear"/>
            <w:tcMar>
              <w:bottom w:w="0" w:type="dxa"/>
            </w:tcMar>
            <w:vAlign w:val="center"/>
          </w:tcPr>
          <w:p>
            <w:pPr>
              <w:pStyle w:val="TableContents"/>
              <w:bidi w:val="0"/>
              <w:spacing w:before="0" w:after="283"/>
              <w:jc w:val="left"/>
              <w:rPr>
                <w:sz w:val="18"/>
              </w:rPr>
            </w:pPr>
            <w:r>
              <w:rPr>
                <w:sz w:val="18"/>
              </w:rPr>
              <w:t>NSG Captive,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sz w:val="18"/>
              </w:rPr>
            </w:pPr>
            <w:r>
              <w:rPr>
                <w:sz w:val="18"/>
              </w:rPr>
              <w:t>Insurance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sz w:val="18"/>
              </w:rPr>
            </w:pPr>
            <w:r>
              <w:rPr>
                <w:sz w:val="18"/>
              </w:rPr>
              <w:t>Equity - 100,000 Units(9)(21)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5" w:type="dxa"/>
            <w:tcBorders>
              <w:bottom w:val="single" w:sz="12" w:space="0" w:color="000000"/>
            </w:tcBorders>
            <w:shd w:fill="CCEEFF" w:val="clear"/>
            <w:vAlign w:val="center"/>
          </w:tcPr>
          <w:p>
            <w:pPr>
              <w:pStyle w:val="TableContents"/>
              <w:bidi w:val="0"/>
              <w:spacing w:before="0" w:after="283"/>
              <w:jc w:val="right"/>
              <w:rPr>
                <w:sz w:val="18"/>
              </w:rPr>
            </w:pPr>
            <w:r>
              <w:rPr>
                <w:sz w:val="18"/>
              </w:rPr>
              <w:t>100,000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993" w:type="dxa"/>
            <w:tcBorders>
              <w:bottom w:val="single" w:sz="12" w:space="0" w:color="000000"/>
            </w:tcBorders>
            <w:shd w:fill="CCEEFF" w:val="clear"/>
            <w:vAlign w:val="center"/>
          </w:tcPr>
          <w:p>
            <w:pPr>
              <w:pStyle w:val="TableContents"/>
              <w:bidi w:val="0"/>
              <w:spacing w:before="0" w:after="283"/>
              <w:jc w:val="right"/>
              <w:rPr>
                <w:sz w:val="18"/>
              </w:rPr>
            </w:pPr>
            <w:r>
              <w:rPr>
                <w:sz w:val="18"/>
              </w:rPr>
              <w:t>49,255,076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48,469,540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sz w:val="18"/>
              </w:rPr>
            </w:pPr>
            <w:r>
              <w:rPr>
                <w:sz w:val="18"/>
              </w:rPr>
              <w:t>30.15</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sz w:val="18"/>
              </w:rPr>
            </w:pPr>
            <w:r>
              <w:rPr>
                <w:sz w:val="18"/>
              </w:rPr>
              <w:t>100,000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sz w:val="18"/>
              </w:rPr>
            </w:pPr>
            <w:r>
              <w:rPr>
                <w:sz w:val="18"/>
              </w:rPr>
              <w:t>49,255,076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48,469,540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30.15</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99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1302" w:type="dxa"/>
            <w:tcBorders/>
            <w:shd w:fill="CCEEFF" w:val="clear"/>
            <w:tcMar>
              <w:bottom w:w="0" w:type="dxa"/>
            </w:tcMar>
            <w:vAlign w:val="center"/>
          </w:tcPr>
          <w:p>
            <w:pPr>
              <w:pStyle w:val="TableContents"/>
              <w:bidi w:val="0"/>
              <w:spacing w:before="0" w:after="283"/>
              <w:jc w:val="left"/>
              <w:rPr>
                <w:sz w:val="18"/>
              </w:rPr>
            </w:pPr>
            <w:r>
              <w:rPr>
                <w:sz w:val="18"/>
              </w:rPr>
              <w:t>NVTN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sz w:val="18"/>
              </w:rPr>
            </w:pPr>
            <w:r>
              <w:rPr>
                <w:sz w:val="18"/>
              </w:rPr>
              <w:t>Hotel, Gaming &amp; Leisure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sz w:val="18"/>
              </w:rPr>
            </w:pPr>
            <w:r>
              <w:rPr>
                <w:sz w:val="18"/>
              </w:rPr>
              <w:t>Senior Secured Revolving Note (SOFR + 7.00%, 2.00% Floor)(23)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sz w:val="18"/>
              </w:rPr>
            </w:pPr>
            <w:r>
              <w:rPr>
                <w:sz w:val="18"/>
              </w:rPr>
              <w:t>12/31/2026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sz w:val="18"/>
              </w:rPr>
            </w:pPr>
            <w:r>
              <w:rPr>
                <w:sz w:val="18"/>
              </w:rPr>
              <w:t>8,900,000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sz w:val="18"/>
              </w:rPr>
            </w:pPr>
            <w:r>
              <w:rPr>
                <w:sz w:val="18"/>
              </w:rPr>
              <w:t>9,029,539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8,900,000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5.54</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sz w:val="18"/>
              </w:rPr>
            </w:pPr>
            <w:r>
              <w:rPr>
                <w:sz w:val="18"/>
              </w:rPr>
              <w:t>Senior Secured First Lien Term Loan B  (AFR)(26)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sz w:val="18"/>
              </w:rPr>
            </w:pPr>
            <w:r>
              <w:rPr>
                <w:sz w:val="18"/>
              </w:rPr>
              <w:t>12/31/2026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sz w:val="18"/>
              </w:rPr>
            </w:pPr>
            <w:r>
              <w:rPr>
                <w:sz w:val="18"/>
              </w:rPr>
              <w:t>17,552,420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sz w:val="18"/>
              </w:rPr>
            </w:pPr>
            <w:r>
              <w:rPr>
                <w:sz w:val="18"/>
              </w:rPr>
              <w:t>13,916,082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8"/>
              </w:rPr>
            </w:pPr>
            <w:r>
              <w:rPr>
                <w:sz w:val="18"/>
              </w:rPr>
              <w:t>13,427,601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8.35</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sz w:val="18"/>
              </w:rPr>
            </w:pPr>
            <w:r>
              <w:rPr>
                <w:sz w:val="18"/>
              </w:rPr>
              <w:t>Senior Secured First Lien Term Loan C (SOFR + 12.00% PIK, 2.00% Floor)(10)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sz w:val="18"/>
              </w:rPr>
            </w:pPr>
            <w:r>
              <w:rPr>
                <w:sz w:val="18"/>
              </w:rPr>
              <w:t>12/31/2026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sz w:val="18"/>
              </w:rPr>
            </w:pPr>
            <w:r>
              <w:rPr>
                <w:sz w:val="18"/>
              </w:rPr>
              <w:t>11,506,159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sz w:val="18"/>
              </w:rPr>
            </w:pPr>
            <w:r>
              <w:rPr>
                <w:sz w:val="18"/>
              </w:rPr>
              <w:t>7,570,055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sz w:val="18"/>
              </w:rPr>
            </w:pPr>
            <w:r>
              <w:rPr>
                <w:sz w:val="18"/>
              </w:rPr>
              <w:t>0.00</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sz w:val="18"/>
              </w:rPr>
            </w:pPr>
            <w:r>
              <w:rPr>
                <w:sz w:val="18"/>
              </w:rPr>
              <w:t>Equity - 1,000 Class A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5" w:type="dxa"/>
            <w:tcBorders>
              <w:bottom w:val="single" w:sz="12" w:space="0" w:color="000000"/>
            </w:tcBorders>
            <w:shd w:fill="CCEEFF" w:val="clear"/>
            <w:vAlign w:val="center"/>
          </w:tcPr>
          <w:p>
            <w:pPr>
              <w:pStyle w:val="TableContents"/>
              <w:bidi w:val="0"/>
              <w:spacing w:before="0" w:after="283"/>
              <w:jc w:val="right"/>
              <w:rPr>
                <w:sz w:val="18"/>
              </w:rPr>
            </w:pPr>
            <w:r>
              <w:rPr>
                <w:sz w:val="18"/>
              </w:rPr>
              <w:t>1,000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993" w:type="dxa"/>
            <w:tcBorders>
              <w:bottom w:val="single" w:sz="12" w:space="0" w:color="000000"/>
            </w:tcBorders>
            <w:shd w:fill="CCEEFF" w:val="clear"/>
            <w:vAlign w:val="center"/>
          </w:tcPr>
          <w:p>
            <w:pPr>
              <w:pStyle w:val="TableContents"/>
              <w:bidi w:val="0"/>
              <w:spacing w:before="0" w:after="283"/>
              <w:jc w:val="right"/>
              <w:rPr>
                <w:sz w:val="18"/>
              </w:rPr>
            </w:pPr>
            <w:r>
              <w:rPr>
                <w:sz w:val="18"/>
              </w:rPr>
              <w:t>21,450,924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sz w:val="18"/>
              </w:rPr>
            </w:pPr>
            <w:r>
              <w:rPr>
                <w:sz w:val="18"/>
              </w:rPr>
              <w:t>0.00</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5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5" w:type="dxa"/>
            <w:tcBorders>
              <w:bottom w:val="single" w:sz="12" w:space="0" w:color="000000"/>
            </w:tcBorders>
            <w:shd w:fill="CCEEFF" w:val="clear"/>
            <w:vAlign w:val="center"/>
          </w:tcPr>
          <w:p>
            <w:pPr>
              <w:pStyle w:val="TableContents"/>
              <w:bidi w:val="0"/>
              <w:spacing w:before="0" w:after="283"/>
              <w:jc w:val="right"/>
              <w:rPr>
                <w:sz w:val="18"/>
              </w:rPr>
            </w:pPr>
            <w:r>
              <w:rPr>
                <w:sz w:val="18"/>
              </w:rPr>
              <w:t>37,959,579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993" w:type="dxa"/>
            <w:tcBorders>
              <w:bottom w:val="single" w:sz="12" w:space="0" w:color="000000"/>
            </w:tcBorders>
            <w:shd w:fill="CCEEFF" w:val="clear"/>
            <w:vAlign w:val="center"/>
          </w:tcPr>
          <w:p>
            <w:pPr>
              <w:pStyle w:val="TableContents"/>
              <w:bidi w:val="0"/>
              <w:spacing w:before="0" w:after="283"/>
              <w:jc w:val="right"/>
              <w:rPr>
                <w:sz w:val="18"/>
              </w:rPr>
            </w:pPr>
            <w:r>
              <w:rPr>
                <w:sz w:val="18"/>
              </w:rPr>
              <w:t>51,966,600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sz w:val="18"/>
              </w:rPr>
            </w:pPr>
            <w:r>
              <w:rPr>
                <w:sz w:val="18"/>
              </w:rPr>
              <w:t>22,327,601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sz w:val="18"/>
              </w:rPr>
            </w:pPr>
            <w:r>
              <w:rPr>
                <w:sz w:val="18"/>
              </w:rPr>
              <w:t>13.89</w:t>
            </w:r>
          </w:p>
        </w:tc>
        <w:tc>
          <w:tcPr>
            <w:tcW w:w="279" w:type="dxa"/>
            <w:tcBorders/>
            <w:shd w:fill="CCEEFF" w:val="clear"/>
            <w:tcMar>
              <w:bottom w:w="0" w:type="dxa"/>
            </w:tcMar>
            <w:vAlign w:val="center"/>
          </w:tcPr>
          <w:p>
            <w:pPr>
              <w:pStyle w:val="TableContents"/>
              <w:bidi w:val="0"/>
              <w:spacing w:before="0" w:after="283"/>
              <w:ind w:left="0" w:right="0" w:hanging="180"/>
              <w:jc w:val="left"/>
              <w:rPr>
                <w:sz w:val="18"/>
              </w:rPr>
            </w:pPr>
            <w:r>
              <w:rPr>
                <w:sz w:val="18"/>
              </w:rPr>
              <w:t>%</w:t>
            </w:r>
          </w:p>
        </w:tc>
      </w:tr>
      <w:tr>
        <w:trPr/>
        <w:tc>
          <w:tcPr>
            <w:tcW w:w="13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99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4190" w:type="dxa"/>
            <w:gridSpan w:val="5"/>
            <w:tcBorders/>
            <w:shd w:fill="CCEEFF" w:val="clear"/>
            <w:tcMar>
              <w:bottom w:w="0" w:type="dxa"/>
            </w:tcMar>
            <w:vAlign w:val="center"/>
          </w:tcPr>
          <w:p>
            <w:pPr>
              <w:pStyle w:val="TableContents"/>
              <w:bidi w:val="0"/>
              <w:spacing w:before="0" w:after="283"/>
              <w:jc w:val="left"/>
              <w:rPr>
                <w:b/>
                <w:sz w:val="18"/>
              </w:rPr>
            </w:pPr>
            <w:r>
              <w:rPr>
                <w:b/>
                <w:sz w:val="18"/>
              </w:rPr>
              <w:t>Subtotal Control Investments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975" w:type="dxa"/>
            <w:tcBorders>
              <w:bottom w:val="single" w:sz="12" w:space="0" w:color="000000"/>
            </w:tcBorders>
            <w:shd w:fill="CCEEFF" w:val="clear"/>
            <w:vAlign w:val="center"/>
          </w:tcPr>
          <w:p>
            <w:pPr>
              <w:pStyle w:val="TableContents"/>
              <w:bidi w:val="0"/>
              <w:spacing w:before="0" w:after="283"/>
              <w:jc w:val="right"/>
              <w:rPr>
                <w:b/>
                <w:sz w:val="18"/>
              </w:rPr>
            </w:pPr>
            <w:r>
              <w:rPr>
                <w:b/>
                <w:sz w:val="18"/>
              </w:rPr>
              <w:t>166,237,352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b/>
                <w:sz w:val="18"/>
              </w:rPr>
            </w:pPr>
            <w:r>
              <w:rPr>
                <w:b/>
                <w:sz w:val="18"/>
              </w:rPr>
              <w:t>$</w:t>
            </w:r>
          </w:p>
        </w:tc>
        <w:tc>
          <w:tcPr>
            <w:tcW w:w="993" w:type="dxa"/>
            <w:tcBorders>
              <w:bottom w:val="single" w:sz="12" w:space="0" w:color="000000"/>
            </w:tcBorders>
            <w:shd w:fill="CCEEFF" w:val="clear"/>
            <w:vAlign w:val="center"/>
          </w:tcPr>
          <w:p>
            <w:pPr>
              <w:pStyle w:val="TableContents"/>
              <w:bidi w:val="0"/>
              <w:spacing w:before="0" w:after="283"/>
              <w:jc w:val="right"/>
              <w:rPr>
                <w:b/>
                <w:sz w:val="18"/>
              </w:rPr>
            </w:pPr>
            <w:r>
              <w:rPr>
                <w:b/>
                <w:sz w:val="18"/>
              </w:rPr>
              <w:t>149,656,451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b/>
                <w:sz w:val="18"/>
              </w:rPr>
            </w:pPr>
            <w:r>
              <w:rPr>
                <w:b/>
                <w:sz w:val="18"/>
              </w:rPr>
              <w:t>$</w:t>
            </w:r>
          </w:p>
        </w:tc>
        <w:tc>
          <w:tcPr>
            <w:tcW w:w="950" w:type="dxa"/>
            <w:tcBorders>
              <w:bottom w:val="single" w:sz="12" w:space="0" w:color="000000"/>
            </w:tcBorders>
            <w:shd w:fill="CCEEFF" w:val="clear"/>
            <w:vAlign w:val="center"/>
          </w:tcPr>
          <w:p>
            <w:pPr>
              <w:pStyle w:val="TableContents"/>
              <w:bidi w:val="0"/>
              <w:spacing w:before="0" w:after="283"/>
              <w:jc w:val="right"/>
              <w:rPr>
                <w:b/>
                <w:sz w:val="18"/>
              </w:rPr>
            </w:pPr>
            <w:r>
              <w:rPr>
                <w:b/>
                <w:sz w:val="18"/>
              </w:rPr>
              <w:t>121,610,914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b/>
                <w:sz w:val="18"/>
              </w:rPr>
            </w:pPr>
            <w:r>
              <w:rPr>
                <w:b/>
                <w:sz w:val="18"/>
              </w:rPr>
              <w:t>75.65</w:t>
            </w:r>
          </w:p>
        </w:tc>
        <w:tc>
          <w:tcPr>
            <w:tcW w:w="279" w:type="dxa"/>
            <w:tcBorders/>
            <w:shd w:fill="CCEEFF" w:val="clear"/>
            <w:tcMar>
              <w:bottom w:w="0" w:type="dxa"/>
            </w:tcMar>
            <w:vAlign w:val="center"/>
          </w:tcPr>
          <w:p>
            <w:pPr>
              <w:pStyle w:val="TableContents"/>
              <w:bidi w:val="0"/>
              <w:spacing w:before="0" w:after="283"/>
              <w:ind w:left="0" w:right="0" w:hanging="180"/>
              <w:jc w:val="left"/>
              <w:rPr>
                <w:b/>
                <w:sz w:val="18"/>
              </w:rPr>
            </w:pPr>
            <w:r>
              <w:rPr>
                <w:b/>
                <w:sz w:val="18"/>
              </w:rPr>
              <w:t>%</w:t>
            </w:r>
          </w:p>
        </w:tc>
      </w:tr>
      <w:tr>
        <w:trPr/>
        <w:tc>
          <w:tcPr>
            <w:tcW w:w="13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97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99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ind w:left="0" w:right="0" w:hanging="180"/>
              <w:jc w:val="left"/>
              <w:rPr/>
            </w:pPr>
            <w:r>
              <w:rPr/>
              <w:t> </w:t>
            </w:r>
          </w:p>
        </w:tc>
      </w:tr>
      <w:tr>
        <w:trPr/>
        <w:tc>
          <w:tcPr>
            <w:tcW w:w="130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43" w:type="dxa"/>
            <w:gridSpan w:val="5"/>
            <w:tcBorders/>
            <w:shd w:fill="CCEEFF" w:val="clear"/>
            <w:tcMar>
              <w:bottom w:w="0" w:type="dxa"/>
            </w:tcMar>
            <w:vAlign w:val="center"/>
          </w:tcPr>
          <w:p>
            <w:pPr>
              <w:pStyle w:val="TableContents"/>
              <w:bidi w:val="0"/>
              <w:spacing w:before="0" w:after="283"/>
              <w:jc w:val="left"/>
              <w:rPr>
                <w:b/>
                <w:sz w:val="18"/>
              </w:rPr>
            </w:pPr>
            <w:r>
              <w:rPr>
                <w:b/>
                <w:sz w:val="18"/>
              </w:rPr>
              <w:t>Total Investments, September 30,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double" w:sz="10" w:space="0" w:color="000000"/>
            </w:tcBorders>
            <w:shd w:fill="CCEEFF" w:val="clear"/>
            <w:vAlign w:val="center"/>
          </w:tcPr>
          <w:p>
            <w:pPr>
              <w:pStyle w:val="TableContents"/>
              <w:bidi w:val="0"/>
              <w:spacing w:before="0" w:after="283"/>
              <w:jc w:val="left"/>
              <w:rPr/>
            </w:pPr>
            <w:r>
              <w:rPr/>
              <w:t> </w:t>
            </w:r>
          </w:p>
        </w:tc>
        <w:tc>
          <w:tcPr>
            <w:tcW w:w="975" w:type="dxa"/>
            <w:tcBorders>
              <w:bottom w:val="double" w:sz="10" w:space="0" w:color="000000"/>
            </w:tcBorders>
            <w:shd w:fill="CCEEFF" w:val="clear"/>
            <w:vAlign w:val="center"/>
          </w:tcPr>
          <w:p>
            <w:pPr>
              <w:pStyle w:val="TableContents"/>
              <w:bidi w:val="0"/>
              <w:spacing w:before="0" w:after="283"/>
              <w:jc w:val="right"/>
              <w:rPr>
                <w:b/>
                <w:sz w:val="18"/>
              </w:rPr>
            </w:pPr>
            <w:r>
              <w:rPr>
                <w:b/>
                <w:sz w:val="18"/>
              </w:rPr>
              <w:t>300,530,345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double" w:sz="10" w:space="0" w:color="000000"/>
            </w:tcBorders>
            <w:shd w:fill="CCEEFF" w:val="clear"/>
            <w:vAlign w:val="center"/>
          </w:tcPr>
          <w:p>
            <w:pPr>
              <w:pStyle w:val="TableContents"/>
              <w:bidi w:val="0"/>
              <w:spacing w:before="0" w:after="283"/>
              <w:jc w:val="left"/>
              <w:rPr>
                <w:b/>
                <w:sz w:val="18"/>
              </w:rPr>
            </w:pPr>
            <w:r>
              <w:rPr>
                <w:b/>
                <w:sz w:val="18"/>
              </w:rPr>
              <w:t>$</w:t>
            </w:r>
          </w:p>
        </w:tc>
        <w:tc>
          <w:tcPr>
            <w:tcW w:w="993" w:type="dxa"/>
            <w:tcBorders>
              <w:bottom w:val="double" w:sz="10" w:space="0" w:color="000000"/>
            </w:tcBorders>
            <w:shd w:fill="CCEEFF" w:val="clear"/>
            <w:vAlign w:val="center"/>
          </w:tcPr>
          <w:p>
            <w:pPr>
              <w:pStyle w:val="TableContents"/>
              <w:bidi w:val="0"/>
              <w:spacing w:before="0" w:after="283"/>
              <w:jc w:val="right"/>
              <w:rPr>
                <w:b/>
                <w:sz w:val="18"/>
              </w:rPr>
            </w:pPr>
            <w:r>
              <w:rPr>
                <w:b/>
                <w:sz w:val="18"/>
              </w:rPr>
              <w:t>324,389,165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b/>
                <w:sz w:val="18"/>
              </w:rPr>
            </w:pPr>
            <w:r>
              <w:rPr>
                <w:b/>
                <w:sz w:val="18"/>
              </w:rPr>
              <w:t>$</w:t>
            </w:r>
          </w:p>
        </w:tc>
        <w:tc>
          <w:tcPr>
            <w:tcW w:w="950" w:type="dxa"/>
            <w:tcBorders>
              <w:bottom w:val="double" w:sz="10" w:space="0" w:color="000000"/>
            </w:tcBorders>
            <w:shd w:fill="CCEEFF" w:val="clear"/>
            <w:vAlign w:val="center"/>
          </w:tcPr>
          <w:p>
            <w:pPr>
              <w:pStyle w:val="TableContents"/>
              <w:bidi w:val="0"/>
              <w:spacing w:before="0" w:after="283"/>
              <w:jc w:val="right"/>
              <w:rPr>
                <w:b/>
                <w:sz w:val="18"/>
              </w:rPr>
            </w:pPr>
            <w:r>
              <w:rPr>
                <w:b/>
                <w:sz w:val="18"/>
              </w:rPr>
              <w:t>302,272,488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shd w:fill="CCEEFF" w:val="clear"/>
            <w:vAlign w:val="center"/>
          </w:tcPr>
          <w:p>
            <w:pPr>
              <w:pStyle w:val="TableContents"/>
              <w:bidi w:val="0"/>
              <w:spacing w:before="0" w:after="283"/>
              <w:jc w:val="left"/>
              <w:rPr/>
            </w:pPr>
            <w:r>
              <w:rPr/>
              <w:t> </w:t>
            </w:r>
          </w:p>
        </w:tc>
        <w:tc>
          <w:tcPr>
            <w:tcW w:w="785" w:type="dxa"/>
            <w:tcBorders>
              <w:bottom w:val="double" w:sz="10" w:space="0" w:color="000000"/>
            </w:tcBorders>
            <w:shd w:fill="CCEEFF" w:val="clear"/>
            <w:vAlign w:val="center"/>
          </w:tcPr>
          <w:p>
            <w:pPr>
              <w:pStyle w:val="TableContents"/>
              <w:bidi w:val="0"/>
              <w:spacing w:before="0" w:after="283"/>
              <w:jc w:val="right"/>
              <w:rPr>
                <w:b/>
                <w:sz w:val="18"/>
              </w:rPr>
            </w:pPr>
            <w:r>
              <w:rPr>
                <w:b/>
                <w:sz w:val="18"/>
              </w:rPr>
              <w:t>188.01</w:t>
            </w:r>
          </w:p>
        </w:tc>
        <w:tc>
          <w:tcPr>
            <w:tcW w:w="279" w:type="dxa"/>
            <w:tcBorders/>
            <w:shd w:fill="CCEEFF" w:val="clear"/>
            <w:tcMar>
              <w:bottom w:w="0" w:type="dxa"/>
            </w:tcMar>
            <w:vAlign w:val="center"/>
          </w:tcPr>
          <w:p>
            <w:pPr>
              <w:pStyle w:val="TableContents"/>
              <w:bidi w:val="0"/>
              <w:spacing w:before="0" w:after="283"/>
              <w:jc w:val="left"/>
              <w:rPr>
                <w:b/>
                <w:sz w:val="18"/>
              </w:rPr>
            </w:pPr>
            <w:r>
              <w:rPr>
                <w:b/>
                <w:sz w:val="18"/>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pPr>
            <w:r>
              <w:rPr/>
              <w:t>(1)</w:t>
            </w:r>
          </w:p>
        </w:tc>
        <w:tc>
          <w:tcPr>
            <w:tcW w:w="9822" w:type="dxa"/>
            <w:tcBorders/>
            <w:vAlign w:val="center"/>
          </w:tcPr>
          <w:p>
            <w:pPr>
              <w:pStyle w:val="TableContents"/>
              <w:bidi w:val="0"/>
              <w:spacing w:before="0" w:after="283"/>
              <w:jc w:val="both"/>
              <w:rPr/>
            </w:pPr>
            <w:r>
              <w:rPr/>
              <w:t>Substantially all of our investments are domiciled in the United States. Certain investments also have international operations. </w:t>
            </w:r>
          </w:p>
        </w:tc>
      </w:tr>
      <w:tr>
        <w:trPr/>
        <w:tc>
          <w:tcPr>
            <w:tcW w:w="383" w:type="dxa"/>
            <w:tcBorders/>
            <w:vAlign w:val="center"/>
          </w:tcPr>
          <w:p>
            <w:pPr>
              <w:pStyle w:val="TableContents"/>
              <w:bidi w:val="0"/>
              <w:spacing w:before="0" w:after="283"/>
              <w:jc w:val="left"/>
              <w:rPr/>
            </w:pPr>
            <w:r>
              <w:rPr/>
              <w:t>(2)</w:t>
            </w:r>
          </w:p>
        </w:tc>
        <w:tc>
          <w:tcPr>
            <w:tcW w:w="9822" w:type="dxa"/>
            <w:tcBorders/>
            <w:vAlign w:val="center"/>
          </w:tcPr>
          <w:p>
            <w:pPr>
              <w:pStyle w:val="TableContents"/>
              <w:bidi w:val="0"/>
              <w:spacing w:before="0" w:after="283"/>
              <w:jc w:val="both"/>
              <w:rPr/>
            </w:pPr>
            <w:r>
              <w:rPr/>
              <w:t>Par amount is presented for debt investments and the amount includes accumulated payment-in-kind (“PIK”) interest, as applicable, and is net of repayments, while the number of shares or units owned is presented for equity investments. Par amount is denominated in U.S. Dollars (“$”) unless otherwise noted.</w:t>
            </w:r>
          </w:p>
        </w:tc>
      </w:tr>
      <w:tr>
        <w:trPr/>
        <w:tc>
          <w:tcPr>
            <w:tcW w:w="383" w:type="dxa"/>
            <w:tcBorders/>
            <w:vAlign w:val="center"/>
          </w:tcPr>
          <w:p>
            <w:pPr>
              <w:pStyle w:val="TableContents"/>
              <w:bidi w:val="0"/>
              <w:spacing w:before="0" w:after="283"/>
              <w:jc w:val="left"/>
              <w:rPr/>
            </w:pPr>
            <w:r>
              <w:rPr/>
              <w:t>(3)</w:t>
            </w:r>
          </w:p>
        </w:tc>
        <w:tc>
          <w:tcPr>
            <w:tcW w:w="9822" w:type="dxa"/>
            <w:tcBorders/>
            <w:vAlign w:val="center"/>
          </w:tcPr>
          <w:p>
            <w:pPr>
              <w:pStyle w:val="TableContents"/>
              <w:bidi w:val="0"/>
              <w:spacing w:before="0" w:after="283"/>
              <w:jc w:val="both"/>
              <w:rPr/>
            </w:pPr>
            <w:r>
              <w:rPr/>
              <w:t>Net unrealized depreciation for U.S. federal income tax purposes totaled $(22,116,677).</w:t>
            </w:r>
          </w:p>
        </w:tc>
      </w:tr>
      <w:tr>
        <w:trPr/>
        <w:tc>
          <w:tcPr>
            <w:tcW w:w="383" w:type="dxa"/>
            <w:tcBorders/>
            <w:vAlign w:val="center"/>
          </w:tcPr>
          <w:p>
            <w:pPr>
              <w:pStyle w:val="TableContents"/>
              <w:bidi w:val="0"/>
              <w:spacing w:before="0" w:after="283"/>
              <w:jc w:val="left"/>
              <w:rPr/>
            </w:pPr>
            <w:r>
              <w:rPr/>
              <w:t> </w:t>
            </w:r>
          </w:p>
        </w:tc>
        <w:tc>
          <w:tcPr>
            <w:tcW w:w="9822" w:type="dxa"/>
            <w:tcBorders/>
            <w:vAlign w:val="center"/>
          </w:tcPr>
          <w:p>
            <w:pPr>
              <w:pStyle w:val="TableContents"/>
              <w:bidi w:val="0"/>
              <w:spacing w:before="0" w:after="283"/>
              <w:jc w:val="both"/>
              <w:rPr/>
            </w:pPr>
            <w:r>
              <w:rPr/>
              <w:t>The tax cost basis of investments is $323,885,351 as of September 30, 2025.</w:t>
            </w:r>
          </w:p>
        </w:tc>
      </w:tr>
      <w:tr>
        <w:trPr/>
        <w:tc>
          <w:tcPr>
            <w:tcW w:w="383" w:type="dxa"/>
            <w:tcBorders/>
            <w:vAlign w:val="center"/>
          </w:tcPr>
          <w:p>
            <w:pPr>
              <w:pStyle w:val="TableContents"/>
              <w:bidi w:val="0"/>
              <w:spacing w:before="0" w:after="283"/>
              <w:jc w:val="left"/>
              <w:rPr/>
            </w:pPr>
            <w:r>
              <w:rPr/>
              <w:t> </w:t>
            </w:r>
          </w:p>
        </w:tc>
        <w:tc>
          <w:tcPr>
            <w:tcW w:w="9822" w:type="dxa"/>
            <w:tcBorders/>
            <w:vAlign w:val="center"/>
          </w:tcPr>
          <w:p>
            <w:pPr>
              <w:pStyle w:val="TableContents"/>
              <w:bidi w:val="0"/>
              <w:spacing w:before="0" w:after="283"/>
              <w:jc w:val="both"/>
              <w:rPr/>
            </w:pPr>
            <w:r>
              <w:rPr/>
              <w:t>The amortized cost represents the original cost adjusted for the amortization or accretion of premium or discount, as applicable, on debt investments using the effective interest method.</w:t>
            </w:r>
          </w:p>
        </w:tc>
      </w:tr>
      <w:tr>
        <w:trPr/>
        <w:tc>
          <w:tcPr>
            <w:tcW w:w="383" w:type="dxa"/>
            <w:tcBorders/>
            <w:vAlign w:val="center"/>
          </w:tcPr>
          <w:p>
            <w:pPr>
              <w:pStyle w:val="TableContents"/>
              <w:bidi w:val="0"/>
              <w:spacing w:before="0" w:after="283"/>
              <w:jc w:val="left"/>
              <w:rPr/>
            </w:pPr>
            <w:r>
              <w:rPr/>
              <w:t>(4)</w:t>
            </w:r>
          </w:p>
        </w:tc>
        <w:tc>
          <w:tcPr>
            <w:tcW w:w="9822" w:type="dxa"/>
            <w:tcBorders/>
            <w:vAlign w:val="center"/>
          </w:tcPr>
          <w:p>
            <w:pPr>
              <w:pStyle w:val="TableContents"/>
              <w:bidi w:val="0"/>
              <w:spacing w:before="0" w:after="283"/>
              <w:jc w:val="both"/>
              <w:rPr/>
            </w:pPr>
            <w:r>
              <w:rPr/>
              <w:t>Unless otherwise indicated, all securities are valued using significant unobservable inputs, which are categorized as Level 3 assets under the definition of ASC 820 fair value hierarchy (see Note 4).</w:t>
            </w:r>
          </w:p>
        </w:tc>
      </w:tr>
      <w:tr>
        <w:trPr/>
        <w:tc>
          <w:tcPr>
            <w:tcW w:w="383" w:type="dxa"/>
            <w:tcBorders/>
            <w:vAlign w:val="center"/>
          </w:tcPr>
          <w:p>
            <w:pPr>
              <w:pStyle w:val="TableContents"/>
              <w:bidi w:val="0"/>
              <w:spacing w:before="0" w:after="283"/>
              <w:jc w:val="left"/>
              <w:rPr/>
            </w:pPr>
            <w:r>
              <w:rPr/>
              <w:t>(5)</w:t>
            </w:r>
          </w:p>
        </w:tc>
        <w:tc>
          <w:tcPr>
            <w:tcW w:w="9822" w:type="dxa"/>
            <w:tcBorders/>
            <w:vAlign w:val="center"/>
          </w:tcPr>
          <w:p>
            <w:pPr>
              <w:pStyle w:val="TableContents"/>
              <w:bidi w:val="0"/>
              <w:spacing w:before="0" w:after="283"/>
              <w:jc w:val="both"/>
              <w:rPr/>
            </w:pPr>
            <w:r>
              <w:rPr/>
              <w:t>Percentage is based on net assets of $160,774,300 as of September 30, 2025.</w:t>
            </w:r>
          </w:p>
        </w:tc>
      </w:tr>
      <w:tr>
        <w:trPr/>
        <w:tc>
          <w:tcPr>
            <w:tcW w:w="383" w:type="dxa"/>
            <w:tcBorders/>
            <w:vAlign w:val="center"/>
          </w:tcPr>
          <w:p>
            <w:pPr>
              <w:pStyle w:val="TableContents"/>
              <w:bidi w:val="0"/>
              <w:spacing w:before="0" w:after="283"/>
              <w:jc w:val="left"/>
              <w:rPr/>
            </w:pPr>
            <w:r>
              <w:rPr/>
              <w:t>(6)</w:t>
            </w:r>
          </w:p>
        </w:tc>
        <w:tc>
          <w:tcPr>
            <w:tcW w:w="9822" w:type="dxa"/>
            <w:tcBorders/>
            <w:vAlign w:val="center"/>
          </w:tcPr>
          <w:p>
            <w:pPr>
              <w:pStyle w:val="TableContents"/>
              <w:bidi w:val="0"/>
              <w:spacing w:before="0" w:after="283"/>
              <w:jc w:val="both"/>
              <w:rPr/>
            </w:pPr>
            <w:r>
              <w:rPr/>
              <w:t>Affiliated Investments are defined by the 1940 Act as investments in companies in which the Company owns between 5% and 25% of outstanding voting securities or is under common control with such portfolio company.</w:t>
            </w:r>
          </w:p>
        </w:tc>
      </w:tr>
      <w:tr>
        <w:trPr/>
        <w:tc>
          <w:tcPr>
            <w:tcW w:w="383" w:type="dxa"/>
            <w:tcBorders/>
            <w:vAlign w:val="center"/>
          </w:tcPr>
          <w:p>
            <w:pPr>
              <w:pStyle w:val="TableContents"/>
              <w:bidi w:val="0"/>
              <w:spacing w:before="0" w:after="283"/>
              <w:jc w:val="left"/>
              <w:rPr/>
            </w:pPr>
            <w:r>
              <w:rPr/>
              <w:t>(7)</w:t>
            </w:r>
          </w:p>
        </w:tc>
        <w:tc>
          <w:tcPr>
            <w:tcW w:w="9822" w:type="dxa"/>
            <w:tcBorders/>
            <w:vAlign w:val="center"/>
          </w:tcPr>
          <w:p>
            <w:pPr>
              <w:pStyle w:val="TableContents"/>
              <w:bidi w:val="0"/>
              <w:spacing w:before="0" w:after="283"/>
              <w:jc w:val="both"/>
              <w:rPr/>
            </w:pPr>
            <w:r>
              <w:rPr/>
              <w:t>Control Investments are defined by the Investment Company Act of 1940, as amended (the “1940 Act”), as investments in companies in which the Company owns more than 25% of the voting securities or maintains greater than 50% of the board representation.</w:t>
            </w:r>
          </w:p>
        </w:tc>
      </w:tr>
      <w:tr>
        <w:trPr/>
        <w:tc>
          <w:tcPr>
            <w:tcW w:w="383" w:type="dxa"/>
            <w:tcBorders/>
            <w:vAlign w:val="center"/>
          </w:tcPr>
          <w:p>
            <w:pPr>
              <w:pStyle w:val="TableContents"/>
              <w:bidi w:val="0"/>
              <w:spacing w:before="0" w:after="283"/>
              <w:jc w:val="left"/>
              <w:rPr/>
            </w:pPr>
            <w:r>
              <w:rPr/>
              <w:t>(8)</w:t>
            </w:r>
          </w:p>
        </w:tc>
        <w:tc>
          <w:tcPr>
            <w:tcW w:w="9822" w:type="dxa"/>
            <w:tcBorders/>
            <w:vAlign w:val="center"/>
          </w:tcPr>
          <w:p>
            <w:pPr>
              <w:pStyle w:val="TableContents"/>
              <w:bidi w:val="0"/>
              <w:spacing w:before="0" w:after="283"/>
              <w:jc w:val="both"/>
              <w:rPr/>
            </w:pPr>
            <w:r>
              <w:rPr/>
              <w:t>The investment has an unfunded commitment as of September 30, 2025 (see Note 8), and fair value includes the value of any unfunded commitments. The negative cost, if applicable, is the result of the capitalized discount being greater than the principal amount outstanding on the loan. The negative fair value, if applicable, is the result of the capitalized discount on the loan.</w:t>
            </w:r>
          </w:p>
        </w:tc>
      </w:tr>
      <w:tr>
        <w:trPr/>
        <w:tc>
          <w:tcPr>
            <w:tcW w:w="383" w:type="dxa"/>
            <w:tcBorders/>
            <w:vAlign w:val="center"/>
          </w:tcPr>
          <w:p>
            <w:pPr>
              <w:pStyle w:val="TableContents"/>
              <w:bidi w:val="0"/>
              <w:spacing w:before="0" w:after="283"/>
              <w:jc w:val="left"/>
              <w:rPr/>
            </w:pPr>
            <w:r>
              <w:rPr/>
              <w:t>(9)</w:t>
            </w:r>
          </w:p>
        </w:tc>
        <w:tc>
          <w:tcPr>
            <w:tcW w:w="9822" w:type="dxa"/>
            <w:tcBorders/>
            <w:vAlign w:val="center"/>
          </w:tcPr>
          <w:p>
            <w:pPr>
              <w:pStyle w:val="TableContents"/>
              <w:bidi w:val="0"/>
              <w:spacing w:before="0" w:after="283"/>
              <w:jc w:val="both"/>
              <w:rPr/>
            </w:pPr>
            <w:r>
              <w:rPr/>
              <w:t>NSG Captive, Inc. owns 80% of National Security Group Holdings Inc.</w:t>
            </w:r>
          </w:p>
        </w:tc>
      </w:tr>
      <w:tr>
        <w:trPr/>
        <w:tc>
          <w:tcPr>
            <w:tcW w:w="383" w:type="dxa"/>
            <w:tcBorders/>
            <w:vAlign w:val="center"/>
          </w:tcPr>
          <w:p>
            <w:pPr>
              <w:pStyle w:val="TableContents"/>
              <w:bidi w:val="0"/>
              <w:spacing w:before="0" w:after="283"/>
              <w:jc w:val="left"/>
              <w:rPr/>
            </w:pPr>
            <w:r>
              <w:rPr/>
              <w:t>(10)</w:t>
            </w:r>
          </w:p>
        </w:tc>
        <w:tc>
          <w:tcPr>
            <w:tcW w:w="9822" w:type="dxa"/>
            <w:tcBorders/>
            <w:vAlign w:val="center"/>
          </w:tcPr>
          <w:p>
            <w:pPr>
              <w:pStyle w:val="TableContents"/>
              <w:bidi w:val="0"/>
              <w:spacing w:before="0" w:after="283"/>
              <w:jc w:val="both"/>
              <w:rPr/>
            </w:pPr>
            <w:r>
              <w:rPr/>
              <w:t>The investment was on non-accrual status as of September 30, 2025.</w:t>
            </w:r>
          </w:p>
        </w:tc>
      </w:tr>
      <w:tr>
        <w:trPr/>
        <w:tc>
          <w:tcPr>
            <w:tcW w:w="383" w:type="dxa"/>
            <w:tcBorders/>
            <w:vAlign w:val="center"/>
          </w:tcPr>
          <w:p>
            <w:pPr>
              <w:pStyle w:val="TableContents"/>
              <w:bidi w:val="0"/>
              <w:spacing w:before="0" w:after="283"/>
              <w:jc w:val="left"/>
              <w:rPr/>
            </w:pPr>
            <w:r>
              <w:rPr/>
              <w:t>(11)</w:t>
            </w:r>
          </w:p>
        </w:tc>
        <w:tc>
          <w:tcPr>
            <w:tcW w:w="9822" w:type="dxa"/>
            <w:tcBorders/>
            <w:vAlign w:val="center"/>
          </w:tcPr>
          <w:p>
            <w:pPr>
              <w:pStyle w:val="TableContents"/>
              <w:bidi w:val="0"/>
              <w:spacing w:before="0" w:after="283"/>
              <w:jc w:val="both"/>
              <w:rPr/>
            </w:pPr>
            <w:r>
              <w:rPr/>
              <w:t>The investment is not a qualifying asset as defined under Section 55(a) of the 1940 Act, in whole, or in part. As of September 30, 2025, non-qualifying assets represented 14.70% of total assets.</w:t>
            </w:r>
          </w:p>
        </w:tc>
      </w:tr>
      <w:tr>
        <w:trPr/>
        <w:tc>
          <w:tcPr>
            <w:tcW w:w="383" w:type="dxa"/>
            <w:tcBorders/>
            <w:vAlign w:val="center"/>
          </w:tcPr>
          <w:p>
            <w:pPr>
              <w:pStyle w:val="TableContents"/>
              <w:bidi w:val="0"/>
              <w:spacing w:before="0" w:after="283"/>
              <w:jc w:val="left"/>
              <w:rPr/>
            </w:pPr>
            <w:r>
              <w:rPr/>
              <w:t>(12)</w:t>
            </w:r>
          </w:p>
        </w:tc>
        <w:tc>
          <w:tcPr>
            <w:tcW w:w="9822" w:type="dxa"/>
            <w:tcBorders/>
            <w:vAlign w:val="center"/>
          </w:tcPr>
          <w:p>
            <w:pPr>
              <w:pStyle w:val="TableContents"/>
              <w:bidi w:val="0"/>
              <w:spacing w:before="0" w:after="283"/>
              <w:jc w:val="both"/>
              <w:rPr/>
            </w:pPr>
            <w:r>
              <w:rPr/>
              <w:t>This investment earns 0.50% commitment fee on all unused commitments as of September 30, 2025, and is recorded as a component of interest income on the Consolidated Statements of Operations.</w:t>
            </w:r>
          </w:p>
        </w:tc>
      </w:tr>
      <w:tr>
        <w:trPr/>
        <w:tc>
          <w:tcPr>
            <w:tcW w:w="383" w:type="dxa"/>
            <w:tcBorders/>
            <w:vAlign w:val="center"/>
          </w:tcPr>
          <w:p>
            <w:pPr>
              <w:pStyle w:val="TableContents"/>
              <w:bidi w:val="0"/>
              <w:spacing w:before="0" w:after="283"/>
              <w:jc w:val="left"/>
              <w:rPr/>
            </w:pPr>
            <w:r>
              <w:rPr/>
              <w:t>(13)</w:t>
            </w:r>
          </w:p>
        </w:tc>
        <w:tc>
          <w:tcPr>
            <w:tcW w:w="9822" w:type="dxa"/>
            <w:tcBorders/>
            <w:vAlign w:val="center"/>
          </w:tcPr>
          <w:p>
            <w:pPr>
              <w:pStyle w:val="TableContents"/>
              <w:bidi w:val="0"/>
              <w:spacing w:before="0" w:after="283"/>
              <w:jc w:val="both"/>
              <w:rPr/>
            </w:pPr>
            <w:r>
              <w:rPr/>
              <w:t>This investment represents a Level 1 security in the ASC 820 table as of September 30, 2025 (see Note 4).</w:t>
            </w:r>
          </w:p>
        </w:tc>
      </w:tr>
      <w:tr>
        <w:trPr/>
        <w:tc>
          <w:tcPr>
            <w:tcW w:w="383" w:type="dxa"/>
            <w:tcBorders/>
            <w:vAlign w:val="center"/>
          </w:tcPr>
          <w:p>
            <w:pPr>
              <w:pStyle w:val="TableContents"/>
              <w:bidi w:val="0"/>
              <w:spacing w:before="0" w:after="283"/>
              <w:jc w:val="left"/>
              <w:rPr/>
            </w:pPr>
            <w:r>
              <w:rPr/>
              <w:t>(14)</w:t>
            </w:r>
          </w:p>
        </w:tc>
        <w:tc>
          <w:tcPr>
            <w:tcW w:w="9822" w:type="dxa"/>
            <w:tcBorders/>
            <w:vAlign w:val="center"/>
          </w:tcPr>
          <w:p>
            <w:pPr>
              <w:pStyle w:val="TableContents"/>
              <w:bidi w:val="0"/>
              <w:spacing w:before="0" w:after="283"/>
              <w:jc w:val="both"/>
              <w:rPr/>
            </w:pPr>
            <w:r>
              <w:rPr/>
              <w:t>This investment represents a Level 2 security in the ASC 820 table as of September 30, 2025 (see Note 4).</w:t>
            </w:r>
          </w:p>
        </w:tc>
      </w:tr>
      <w:tr>
        <w:trPr/>
        <w:tc>
          <w:tcPr>
            <w:tcW w:w="383" w:type="dxa"/>
            <w:tcBorders/>
            <w:vAlign w:val="center"/>
          </w:tcPr>
          <w:p>
            <w:pPr>
              <w:pStyle w:val="TableContents"/>
              <w:bidi w:val="0"/>
              <w:spacing w:before="0" w:after="283"/>
              <w:jc w:val="left"/>
              <w:rPr/>
            </w:pPr>
            <w:r>
              <w:rPr/>
              <w:t>(15)</w:t>
            </w:r>
          </w:p>
        </w:tc>
        <w:tc>
          <w:tcPr>
            <w:tcW w:w="9822" w:type="dxa"/>
            <w:tcBorders/>
            <w:vAlign w:val="center"/>
          </w:tcPr>
          <w:p>
            <w:pPr>
              <w:pStyle w:val="TableContents"/>
              <w:bidi w:val="0"/>
              <w:spacing w:before="0" w:after="283"/>
              <w:jc w:val="both"/>
              <w:rPr/>
            </w:pPr>
            <w:r>
              <w:rPr/>
              <w:t>The interest rate on this preferred equity is fixed-to-floating and shifted to 3 month SOFR plus a CSA of 0.262% plus a 4.743% spread on 9/30/2025.</w:t>
            </w:r>
          </w:p>
        </w:tc>
      </w:tr>
      <w:tr>
        <w:trPr/>
        <w:tc>
          <w:tcPr>
            <w:tcW w:w="383" w:type="dxa"/>
            <w:tcBorders/>
            <w:vAlign w:val="center"/>
          </w:tcPr>
          <w:p>
            <w:pPr>
              <w:pStyle w:val="TableContents"/>
              <w:bidi w:val="0"/>
              <w:spacing w:before="0" w:after="283"/>
              <w:jc w:val="left"/>
              <w:rPr/>
            </w:pPr>
            <w:r>
              <w:rPr/>
              <w:t>(16)</w:t>
            </w:r>
          </w:p>
        </w:tc>
        <w:tc>
          <w:tcPr>
            <w:tcW w:w="9822" w:type="dxa"/>
            <w:tcBorders/>
            <w:vAlign w:val="center"/>
          </w:tcPr>
          <w:p>
            <w:pPr>
              <w:pStyle w:val="TableContents"/>
              <w:bidi w:val="0"/>
              <w:spacing w:before="0" w:after="283"/>
              <w:jc w:val="both"/>
              <w:rPr/>
            </w:pPr>
            <w:r>
              <w:rPr/>
              <w:t>The interest rate on this preferred equity is fixed-to-floating and will shift to 3 month SOFR plus a CSA of 0.262% plus a 5.29% spread on 9/27/2027.</w:t>
            </w:r>
          </w:p>
        </w:tc>
      </w:tr>
      <w:tr>
        <w:trPr/>
        <w:tc>
          <w:tcPr>
            <w:tcW w:w="383" w:type="dxa"/>
            <w:tcBorders/>
            <w:vAlign w:val="center"/>
          </w:tcPr>
          <w:p>
            <w:pPr>
              <w:pStyle w:val="TableContents"/>
              <w:bidi w:val="0"/>
              <w:spacing w:before="0" w:after="283"/>
              <w:jc w:val="left"/>
              <w:rPr/>
            </w:pPr>
            <w:r>
              <w:rPr/>
              <w:t>(17)</w:t>
            </w:r>
          </w:p>
        </w:tc>
        <w:tc>
          <w:tcPr>
            <w:tcW w:w="9822" w:type="dxa"/>
            <w:tcBorders/>
            <w:vAlign w:val="center"/>
          </w:tcPr>
          <w:p>
            <w:pPr>
              <w:pStyle w:val="TableContents"/>
              <w:bidi w:val="0"/>
              <w:spacing w:before="0" w:after="283"/>
              <w:jc w:val="both"/>
              <w:rPr/>
            </w:pPr>
            <w:r>
              <w:rPr/>
              <w:t>The investment is held through PhenixFIN Investment Holdings FST, LLC.</w:t>
            </w:r>
          </w:p>
        </w:tc>
      </w:tr>
      <w:tr>
        <w:trPr/>
        <w:tc>
          <w:tcPr>
            <w:tcW w:w="383" w:type="dxa"/>
            <w:tcBorders/>
            <w:vAlign w:val="center"/>
          </w:tcPr>
          <w:p>
            <w:pPr>
              <w:pStyle w:val="TableContents"/>
              <w:bidi w:val="0"/>
              <w:spacing w:before="0" w:after="283"/>
              <w:jc w:val="left"/>
              <w:rPr/>
            </w:pPr>
            <w:r>
              <w:rPr/>
              <w:t>(18)</w:t>
            </w:r>
          </w:p>
        </w:tc>
        <w:tc>
          <w:tcPr>
            <w:tcW w:w="9822" w:type="dxa"/>
            <w:tcBorders/>
            <w:vAlign w:val="center"/>
          </w:tcPr>
          <w:p>
            <w:pPr>
              <w:pStyle w:val="TableContents"/>
              <w:bidi w:val="0"/>
              <w:spacing w:before="0" w:after="283"/>
              <w:jc w:val="both"/>
              <w:rPr/>
            </w:pPr>
            <w:r>
              <w:rPr/>
              <w:t>The interest rate on this preferred equity is fixed-to-floating and will shift to 3 month SOFR plus a CSA of 0.262% plus a 6.130% spread on 10/15/2026.</w:t>
            </w:r>
          </w:p>
        </w:tc>
      </w:tr>
      <w:tr>
        <w:trPr/>
        <w:tc>
          <w:tcPr>
            <w:tcW w:w="383" w:type="dxa"/>
            <w:tcBorders/>
            <w:vAlign w:val="center"/>
          </w:tcPr>
          <w:p>
            <w:pPr>
              <w:pStyle w:val="TableContents"/>
              <w:bidi w:val="0"/>
              <w:spacing w:before="0" w:after="283"/>
              <w:jc w:val="left"/>
              <w:rPr/>
            </w:pPr>
            <w:r>
              <w:rPr/>
              <w:t>(19)</w:t>
            </w:r>
          </w:p>
        </w:tc>
        <w:tc>
          <w:tcPr>
            <w:tcW w:w="9822" w:type="dxa"/>
            <w:tcBorders/>
            <w:vAlign w:val="center"/>
          </w:tcPr>
          <w:p>
            <w:pPr>
              <w:pStyle w:val="TableContents"/>
              <w:bidi w:val="0"/>
              <w:spacing w:before="0" w:after="283"/>
              <w:jc w:val="both"/>
              <w:rPr/>
            </w:pPr>
            <w:r>
              <w:rPr/>
              <w:t>The interest rate on this preferred equity is fixed-to-floating and will shift to a rate equal to the five-year US Treasury Rate plus a 6.278% spread on 4/15/2028</w:t>
            </w:r>
          </w:p>
        </w:tc>
      </w:tr>
      <w:tr>
        <w:trPr/>
        <w:tc>
          <w:tcPr>
            <w:tcW w:w="383" w:type="dxa"/>
            <w:tcBorders/>
            <w:vAlign w:val="center"/>
          </w:tcPr>
          <w:p>
            <w:pPr>
              <w:pStyle w:val="TableContents"/>
              <w:bidi w:val="0"/>
              <w:spacing w:before="0" w:after="283"/>
              <w:jc w:val="left"/>
              <w:rPr/>
            </w:pPr>
            <w:r>
              <w:rPr/>
              <w:t>(20)</w:t>
            </w:r>
          </w:p>
        </w:tc>
        <w:tc>
          <w:tcPr>
            <w:tcW w:w="9822" w:type="dxa"/>
            <w:tcBorders/>
            <w:vAlign w:val="center"/>
          </w:tcPr>
          <w:p>
            <w:pPr>
              <w:pStyle w:val="TableContents"/>
              <w:bidi w:val="0"/>
              <w:spacing w:before="0" w:after="283"/>
              <w:jc w:val="both"/>
              <w:rPr/>
            </w:pPr>
            <w:r>
              <w:rPr/>
              <w:t>Credit Spread Adjustment (“CSA”).</w:t>
            </w:r>
          </w:p>
        </w:tc>
      </w:tr>
      <w:tr>
        <w:trPr/>
        <w:tc>
          <w:tcPr>
            <w:tcW w:w="383" w:type="dxa"/>
            <w:tcBorders/>
            <w:vAlign w:val="center"/>
          </w:tcPr>
          <w:p>
            <w:pPr>
              <w:pStyle w:val="TableContents"/>
              <w:bidi w:val="0"/>
              <w:spacing w:before="0" w:after="283"/>
              <w:jc w:val="left"/>
              <w:rPr/>
            </w:pPr>
            <w:r>
              <w:rPr/>
              <w:t>(21)</w:t>
            </w:r>
          </w:p>
        </w:tc>
        <w:tc>
          <w:tcPr>
            <w:tcW w:w="9822" w:type="dxa"/>
            <w:tcBorders/>
            <w:vAlign w:val="center"/>
          </w:tcPr>
          <w:p>
            <w:pPr>
              <w:pStyle w:val="TableContents"/>
              <w:bidi w:val="0"/>
              <w:spacing w:before="0" w:after="283"/>
              <w:jc w:val="both"/>
              <w:rPr/>
            </w:pPr>
            <w:r>
              <w:rPr/>
              <w:t>Non-income producing security.</w:t>
            </w:r>
          </w:p>
        </w:tc>
      </w:tr>
      <w:tr>
        <w:trPr/>
        <w:tc>
          <w:tcPr>
            <w:tcW w:w="383" w:type="dxa"/>
            <w:tcBorders/>
            <w:vAlign w:val="center"/>
          </w:tcPr>
          <w:p>
            <w:pPr>
              <w:pStyle w:val="TableContents"/>
              <w:bidi w:val="0"/>
              <w:spacing w:before="0" w:after="283"/>
              <w:jc w:val="left"/>
              <w:rPr/>
            </w:pPr>
            <w:r>
              <w:rPr/>
              <w:t>(22)</w:t>
            </w:r>
          </w:p>
        </w:tc>
        <w:tc>
          <w:tcPr>
            <w:tcW w:w="9822" w:type="dxa"/>
            <w:tcBorders/>
            <w:vAlign w:val="center"/>
          </w:tcPr>
          <w:p>
            <w:pPr>
              <w:pStyle w:val="TableContents"/>
              <w:bidi w:val="0"/>
              <w:spacing w:before="0" w:after="283"/>
              <w:jc w:val="both"/>
              <w:rPr/>
            </w:pPr>
            <w:r>
              <w:rPr/>
              <w:t>The investment is valued using NAV as a practical expedient.</w:t>
            </w:r>
          </w:p>
        </w:tc>
      </w:tr>
      <w:tr>
        <w:trPr/>
        <w:tc>
          <w:tcPr>
            <w:tcW w:w="383" w:type="dxa"/>
            <w:tcBorders/>
            <w:vAlign w:val="center"/>
          </w:tcPr>
          <w:p>
            <w:pPr>
              <w:pStyle w:val="TableContents"/>
              <w:bidi w:val="0"/>
              <w:spacing w:before="0" w:after="283"/>
              <w:jc w:val="left"/>
              <w:rPr/>
            </w:pPr>
            <w:r>
              <w:rPr/>
              <w:t>(23)</w:t>
            </w:r>
          </w:p>
        </w:tc>
        <w:tc>
          <w:tcPr>
            <w:tcW w:w="9822" w:type="dxa"/>
            <w:tcBorders/>
            <w:vAlign w:val="center"/>
          </w:tcPr>
          <w:p>
            <w:pPr>
              <w:pStyle w:val="TableContents"/>
              <w:bidi w:val="0"/>
              <w:spacing w:before="0" w:after="283"/>
              <w:jc w:val="both"/>
              <w:rPr/>
            </w:pPr>
            <w:r>
              <w:rPr/>
              <w:t>The interest rate on these securities is subject to 1 month SOFR, which as of September 30, 2025 was 4.13%.</w:t>
            </w:r>
          </w:p>
        </w:tc>
      </w:tr>
      <w:tr>
        <w:trPr/>
        <w:tc>
          <w:tcPr>
            <w:tcW w:w="383" w:type="dxa"/>
            <w:tcBorders/>
            <w:vAlign w:val="center"/>
          </w:tcPr>
          <w:p>
            <w:pPr>
              <w:pStyle w:val="TableContents"/>
              <w:bidi w:val="0"/>
              <w:spacing w:before="0" w:after="283"/>
              <w:jc w:val="left"/>
              <w:rPr/>
            </w:pPr>
            <w:r>
              <w:rPr/>
              <w:t>(24)</w:t>
            </w:r>
          </w:p>
        </w:tc>
        <w:tc>
          <w:tcPr>
            <w:tcW w:w="9822" w:type="dxa"/>
            <w:tcBorders/>
            <w:vAlign w:val="center"/>
          </w:tcPr>
          <w:p>
            <w:pPr>
              <w:pStyle w:val="TableContents"/>
              <w:bidi w:val="0"/>
              <w:spacing w:before="0" w:after="283"/>
              <w:jc w:val="both"/>
              <w:rPr/>
            </w:pPr>
            <w:r>
              <w:rPr/>
              <w:t>The interest rate on these securities is subject to 3 month SOFR, which as of September 30, 2025 was 3.98%.</w:t>
            </w:r>
          </w:p>
        </w:tc>
      </w:tr>
      <w:tr>
        <w:trPr/>
        <w:tc>
          <w:tcPr>
            <w:tcW w:w="383" w:type="dxa"/>
            <w:tcBorders/>
            <w:vAlign w:val="center"/>
          </w:tcPr>
          <w:p>
            <w:pPr>
              <w:pStyle w:val="TableContents"/>
              <w:bidi w:val="0"/>
              <w:spacing w:before="0" w:after="283"/>
              <w:jc w:val="left"/>
              <w:rPr/>
            </w:pPr>
            <w:r>
              <w:rPr/>
              <w:t>(25)</w:t>
            </w:r>
          </w:p>
        </w:tc>
        <w:tc>
          <w:tcPr>
            <w:tcW w:w="9822" w:type="dxa"/>
            <w:tcBorders/>
            <w:vAlign w:val="center"/>
          </w:tcPr>
          <w:p>
            <w:pPr>
              <w:pStyle w:val="TableContents"/>
              <w:bidi w:val="0"/>
              <w:spacing w:before="0" w:after="283"/>
              <w:jc w:val="both"/>
              <w:rPr/>
            </w:pPr>
            <w:r>
              <w:rPr/>
              <w:t>The interest rate on these securities is subject to 6 month SOFR, which as of September 30, 2025 was 3.85%.</w:t>
            </w:r>
          </w:p>
        </w:tc>
      </w:tr>
      <w:tr>
        <w:trPr/>
        <w:tc>
          <w:tcPr>
            <w:tcW w:w="383" w:type="dxa"/>
            <w:tcBorders/>
            <w:vAlign w:val="center"/>
          </w:tcPr>
          <w:p>
            <w:pPr>
              <w:pStyle w:val="TableContents"/>
              <w:bidi w:val="0"/>
              <w:spacing w:before="0" w:after="283"/>
              <w:jc w:val="left"/>
              <w:rPr/>
            </w:pPr>
            <w:r>
              <w:rPr/>
              <w:t>(26)</w:t>
            </w:r>
          </w:p>
        </w:tc>
        <w:tc>
          <w:tcPr>
            <w:tcW w:w="9822" w:type="dxa"/>
            <w:tcBorders/>
            <w:vAlign w:val="center"/>
          </w:tcPr>
          <w:p>
            <w:pPr>
              <w:pStyle w:val="TableContents"/>
              <w:bidi w:val="0"/>
              <w:spacing w:before="0" w:after="283"/>
              <w:jc w:val="both"/>
              <w:rPr/>
            </w:pPr>
            <w:r>
              <w:rPr/>
              <w:t>The interest rate on these securities is subject to the monthly Applicable Federal Rate, which as of September 30, 2025 was 3.93%.</w:t>
            </w:r>
          </w:p>
        </w:tc>
      </w:tr>
      <w:tr>
        <w:trPr/>
        <w:tc>
          <w:tcPr>
            <w:tcW w:w="383" w:type="dxa"/>
            <w:tcBorders/>
            <w:vAlign w:val="center"/>
          </w:tcPr>
          <w:p>
            <w:pPr>
              <w:pStyle w:val="TableContents"/>
              <w:bidi w:val="0"/>
              <w:spacing w:before="0" w:after="283"/>
              <w:jc w:val="left"/>
              <w:rPr/>
            </w:pPr>
            <w:r>
              <w:rPr/>
              <w:t>(27)</w:t>
            </w:r>
          </w:p>
        </w:tc>
        <w:tc>
          <w:tcPr>
            <w:tcW w:w="9822" w:type="dxa"/>
            <w:tcBorders/>
            <w:vAlign w:val="center"/>
          </w:tcPr>
          <w:p>
            <w:pPr>
              <w:pStyle w:val="TableContents"/>
              <w:bidi w:val="0"/>
              <w:spacing w:before="0" w:after="283"/>
              <w:jc w:val="both"/>
              <w:rPr/>
            </w:pPr>
            <w:r>
              <w:rPr/>
              <w:t>The investment includes an exit fee that is receivable upon repayment of the loan. See Note 2 “Significant Accounting Policies.”</w:t>
            </w:r>
          </w:p>
        </w:tc>
      </w:tr>
      <w:tr>
        <w:trPr/>
        <w:tc>
          <w:tcPr>
            <w:tcW w:w="383" w:type="dxa"/>
            <w:tcBorders/>
            <w:vAlign w:val="center"/>
          </w:tcPr>
          <w:p>
            <w:pPr>
              <w:pStyle w:val="TableContents"/>
              <w:bidi w:val="0"/>
              <w:spacing w:before="0" w:after="283"/>
              <w:jc w:val="left"/>
              <w:rPr/>
            </w:pPr>
            <w:r>
              <w:rPr/>
              <w:t>(28)</w:t>
            </w:r>
          </w:p>
        </w:tc>
        <w:tc>
          <w:tcPr>
            <w:tcW w:w="9822" w:type="dxa"/>
            <w:tcBorders/>
            <w:vAlign w:val="center"/>
          </w:tcPr>
          <w:p>
            <w:pPr>
              <w:pStyle w:val="TableContents"/>
              <w:bidi w:val="0"/>
              <w:spacing w:before="0" w:after="283"/>
              <w:jc w:val="both"/>
              <w:rPr/>
            </w:pPr>
            <w:r>
              <w:rPr/>
              <w:t>The interest rate on this preferred equity is 7.875%.</w:t>
            </w:r>
          </w:p>
        </w:tc>
      </w:tr>
      <w:tr>
        <w:trPr/>
        <w:tc>
          <w:tcPr>
            <w:tcW w:w="383" w:type="dxa"/>
            <w:tcBorders/>
            <w:vAlign w:val="center"/>
          </w:tcPr>
          <w:p>
            <w:pPr>
              <w:pStyle w:val="TableContents"/>
              <w:bidi w:val="0"/>
              <w:spacing w:before="0" w:after="283"/>
              <w:jc w:val="left"/>
              <w:rPr/>
            </w:pPr>
            <w:r>
              <w:rPr/>
              <w:t>(29)</w:t>
            </w:r>
          </w:p>
        </w:tc>
        <w:tc>
          <w:tcPr>
            <w:tcW w:w="9822" w:type="dxa"/>
            <w:tcBorders/>
            <w:vAlign w:val="center"/>
          </w:tcPr>
          <w:p>
            <w:pPr>
              <w:pStyle w:val="TableContents"/>
              <w:bidi w:val="0"/>
              <w:spacing w:before="0" w:after="283"/>
              <w:jc w:val="both"/>
              <w:rPr/>
            </w:pPr>
            <w:r>
              <w:rPr/>
              <w:t>On November 1, 2025, the maturity date of this investment was extended to 11/1/2026</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bookmarkStart w:id="7" w:name="aa_006"/>
      <w:bookmarkEnd w:id="7"/>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PhenixFIN Corporation (“PhenixFIN,” the “Company,” “we” and “us”) is an internally-managed non-diversified closed-end management investment company incorporated in Delaware that has elected to be regulated as a business development company (“BDC”) under the Investment Company Act of 1940, as amended (the “1940 Act”). We completed our initial public offering (“IPO”) and commenced operations on January 20, 2011. The Company has elected, and intends to qualify annually, to be treated, for U.S. federal income tax purposes, as a regulated investment company (“RIC”) under Subchapter M of the Internal Revenue Code of 1986, as amended (the “Code”). Through December 31, 2020, we were an externally managed company. Since January 1, 2021, we have operated under our present internalized management structure.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formed and expects to continue to form certain taxable subsidiaries (the “Taxable Subsidiaries”), which are taxed as corporations for federal income tax purposes. These Taxable Subsidiaries allow us to, among other things, hold equity securities of portfolio companies organized as pass-through entities while continuing to satisfy the requirements of a RIC under the Code.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objective is to generate current income and capital appreciation. The management team seeks to achieve this objective primarily through making loans, private equity or other investments in privately-held companies. The Company may also make debt, equity or other investments in publicly-traded companies. (These investments may also include investments in other BDCs, closed-end funds or REITs.) We may also pursue other strategic opportunities and invest in other assets or operate other businesses to achieve our investment objective, such as operating and managing an asset-based (gems) lending business and overseeing an insurance business. The portfolio generally consists of senior secured first lien term loans, senior secured second lien term loans, senior secured bonds, preferred equity and common equity. Occasionally, we will receive warrants or other equity participation features which we believe will have the potential to increase total investment returns. Our loan and other debt investments are primarily rated below investment grade or are unrated. Investments in below investment grade securities are considered predominantly speculative with respect to the issuer’s capacity to pay interest and repay principal when due.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4, 2021, the common stock trades on the NASDAQ Global Market under the trading symbol “PFX.”</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investment company following the accounting and reporting guidance in Financial Accounting Standards Board (“FASB”) Accounting Standards Codification 946 (“ASC 946”), Financial Services – Investment Companies. The accompanying consolidated financial statements have been prepared on the accrual basis of accounting in conformity with U.S. generally accepted accounting principles (“GAAP”) and include the consolidated accounts of the Company and its wholly owned subsidiaries PhenixFIN Small Business Fund, LP, PhenixFIN SLF Funding I LLC, PhenixFIN Investment Holdings, LLC, PhenixFIN Investment Holdings Omnivere, LLC, PhenixFIN Investment Holdings AAR, LLC, and PhenixFIN Investment Holdings Amvestar, LLC. All references made to the “Company,” “we,” and “us” herein include PhenixFIN Corporation and its consolidated subsidiaries, except as stated otherwise. Additionally, the accompanying consolidated financial statements of the Company and related financial information have been prepared pursuant to the requirements for reporting on Form 10-Q and Article 10 of Regulation S-X of the Securities Act of 1933. Therefore, this Form 10-Q should be read in conjunction with the Company’s annual report on Form 10-K for the year ended September 30, 2025. The current period’s results of operations will not necessarily be indicative of results that ultimately may be achieved for the fiscal year ending September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 in the Preparation of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Restricted Cash and Cash Equivalents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cash equivalents to be highly liquid investments with original maturities of three months or less. Cash and cash equivalents include deposits in a money market account. The Company deposits its cash in financial institutions and, at times, such balances may be in excess of the Federal Deposit Insurance Corporation insurance limits. As of June 30, 2026 and September 30, 2025, we had $2.2 million and $7.3 million in cash and cash equivalents, respectively, none of which is restricted.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Issuance Costs and Deferred Financing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incurred in connection with unsecured notes (see Note 5), are deferred and amortized over the life of the respective instrument. Deferred financing costs related to the issuance of revolving debt obligations (see Note 5) are deferred and amortized over the life of the respective obligation. Debt issuance costs related to any unsecured notes are presented net against the outstanding debt balance on the Consolidated Statements of Assets and Liabilities. Deferred financing costs related to any credit facilities are presented on the Consolidated Statements of Assets and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enters into contractual agreements that provide general indemnifications against losses, costs, claims and liabilities arising from the performance of individual obligations under such agreements. The Company has had no material claims or payments pursuant to such agreements. The Company’s individual maximum exposure under these arrangements is unknown, as this would involve future claims that may be made against the Company that have not yet occurred. However, based on management’s experience, the Company expects the risk of loss to be remote.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adjusted for amortization of premium and accretion of discount, is recorded on an accrual basis. Discounts and premiums to par value on investments purchased are accreted and amortized into interest income over the life of the respective investment. Loan origination fees, exit fees, original issue discount (“OID”) and market discounts or premiums are capitalized and amortized into interest income using the effective interest method or straight-line method, as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debt investments in its portfolio that contain a payment-in-kind (“PIK”) interest provision. PIK interest, which represents contractually deferred interest added to the investment balance that is generally due at maturity, is recorded on the accrual basis to the extent such amounts are expected to be collected. PIK interest is not accrued if the Company does not expect the issuer to be able to pay all principal and interest when due. For the three and nine months ended June 30, 2026, the Company earned approximately $0.7 million and $1.4 million in PIK interest, respectively. For the three and nine months ended June 30, 2025, the Company earned approximately $0.2 million and $0.8 million in PIK interest,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transaction break-up fees associated with investments in portfolio companies are recognized as income when we become entitled to such fees. Prepayment penalties received by the Company for debt instruments paid back to the Company prior to the maturity date are recorded as income upon repayment of debt. Administrative agent fees received by the Company are capitalized as deferred revenue and recorded as fee income when the services are rendered. Other income includes fees for providing managerial assistance to our portfolio companies and is recognized as revenue when earned. For the three and nine months ended June 30, 2026, fee income was approximately $0.3 million and approximately $0.6 million, respectively (see Note 9). For the three and nine months ended June 30, 2025, fee income was approximately $0.7 million and approximately $0.8 million, respectively (see Note 9).</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transactions are accounted for on a trade date basis. Realized gains or losses on investments are measured by the difference between the net proceeds from the disposition and the amortized cost basis of the investment using the specific identification method, without regard to unrealized gains or losses previously recognized. No realized gains or losses relating to restructuring transactions occurred during the three and nine months ended June 30, 2026. The Company recognized a realized gain related to restructuring transactions of $0.0 million and $0.3 million for the three and nine months ended June 30, 2025, respectively. The Company reports changes in fair value of investments as net unrealized appreciation/(depreciation) on investments in the Consolidated Statements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reviews all loans that become 90 days or more past due on principal or interest or when there is reasonable doubt that principal or interest will be collected for possible placement on management’s designation of non-accrual status. Interest receivable is analyzed regularly and may be reserved against when deemed not collectible. Interest payments received on non-accrual loans may be recognized as income or applied to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 At June 30, 2026, a certain investment in one portfolio company held by the Company was on non-accrual status with a fair value of approximately $0.0 million, or 0.0% of the fair value of our portfolio, and a cost of $7.6 million. At September 30, 2025, a certain investment in one portfolio company held by the Company was on non-accrual status with a combined fair value of approximately $0.0 million, or 0.0% of the fair value of our portfolio, and a cost of $7.6 million.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Classification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its investments in accordance with the requirements of the 1940 Act. Under the 1940 Act, we would be deemed to “control” a portfolio company if we owned more than 25% of its outstanding voting securities and/or had the power to exercise control over the management or policies of such portfolio company. We refer to such investments in portfolio companies that we “control” as “Control Investments.” Under the 1940 Act, we would be deemed to be an “Affiliated Person” of a portfolio company if we own between 5% and 25% of the portfolio company’s outstanding voting securities or we are under common control with such portfolio company. We refer to such investments in Affiliated Persons as “Affiliated Investments.”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of Investments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fair value accounting to all of its financial instruments in accordance with the 1940 Act and ASC Topic 820 - Fair Value Measurements and Disclosures (“ASC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 Fair value is a market-based measure considered from the perspective of a market participant rather than an entity specific measure. Therefore, when market assumptions are not readily available, the Company’s own assumptions are set to reflect those that management believes market participants would use in pricing the financial instrument at the measurement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for which market quotations are readily available are valued at such market quotations, which are generally obtained from an independent pricing service or multiple broker-dealers or market makers. We weight the use of third-party broker quotations, if any, in determining fair value based on our understanding of the level of actual transactions used by the broker to develop the quote and whether the quote was an indicative price or binding offer. However, debt investments with remaining maturities within 60 days that are not credit impaired are valued at cost plus accreted discount, or minus amortized premium, which approximates fair value. Investments for which market quotations are not readily available are valued at fair value as determined by our Chief Financial Officer, the Company’s Valuation Designee, based upon input from management and third-party valuation firms. Because these investments are illiquid and because there may not be any directly comparable companies whose financial instruments have observable market values, these loans are valued using a fundamental valuation methodology, consistent with traditional asset pricing standards, that is objective and consistently applied across all loans and through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investment funds are valued at fair value. Fair values are generally determined utilizing the NAV supplied by, or on behalf of, management of each investment fund, which is net of management and incentive fees or allocations charged by the investment fund and is in accordance with the “practical expedient”, as defined by FASB Accounting Standards Update (“ASU”) 2009-12, </w:t>
      </w:r>
      <w:r>
        <w:rPr>
          <w:rFonts w:ascii="Times New Roman;Times;Serif" w:hAnsi="Times New Roman;Times;Serif"/>
          <w:b w:val="false"/>
          <w:i/>
          <w:caps w:val="false"/>
          <w:smallCaps w:val="false"/>
          <w:sz w:val="20"/>
        </w:rPr>
        <w:t>Investments in Certain Entities that Calculate Net Asset Value per Share</w:t>
      </w:r>
      <w:r>
        <w:rPr>
          <w:rFonts w:ascii="Times New Roman;Times;Serif" w:hAnsi="Times New Roman;Times;Serif"/>
          <w:b w:val="false"/>
          <w:i w:val="false"/>
          <w:caps w:val="false"/>
          <w:smallCaps w:val="false"/>
          <w:sz w:val="20"/>
        </w:rPr>
        <w:t>. NAVs received by, or on behalf of, management of each investment fund are based on the fair value of the investment funds’ underlying investments in accordance with policies established by management of each investment fund, as described in each of their financial statements and offering memorandum. If the Company is in the process of the sale of an investment fund, fair value will be determined by actual or estimated sale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methodologies utilized by the Company in estimating the fair value of its investments categorized as Level 3 generally fall into the following two categories: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Approach” uses prices and other relevant information generated by market transactions involving identical or comparable (that is, similar) assets, liabilities, or a group of assets and liabilities, such as a business.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“Income Approach” converts future amounts (for example, cash flows or income and expenses) to a single current (that is, discounted) amount. When the Income Approach is used, the fair value measurement reflects current market expectations about those future amounts.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third-party valuation firms (the “Valuation Firms”) to assist it and its Valuation Designee (the Chief Financial Officer) in the valuation of its portfolio investments. The valuation reports generated by the Valuation Firms consider the evaluation of financing and sale transactions with third parties, expected cash flows and market-based information, including comparable transactions, performance multiples, and movement in yields of debt instruments, among other factors. The Company uses a market yield analysis under the Income Approach or an enterprise model of valuation under the Market Approach, or a combination thereof. In applying the market yield analysis, the value of the Company’s loans are determined based upon inputs such as the coupon rate, current market yield, interest rate spreads of similar securities, the stated value of the loan, and the length to maturity. In applying the enterprise model, the Company uses a waterfall analysis, which takes into account the specific capital structure of the borrower and the related seniority of the instruments within the borrower’s capital structure. To estimate the enterprise value of the portfolio company, we weigh some or all of the traditional market valuation methods and factors based on the individual circumstances of the portfolio company in order to estimate the enterprise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methodologies and information that the Company utilizes when applying the Market Approach for performing investments include, among other things:</w:t>
      </w:r>
    </w:p>
    <w:p>
      <w:pPr>
        <w:pStyle w:val="TextBody"/>
        <w:bidi w:val="0"/>
        <w:spacing w:before="0" w:after="0"/>
        <w:jc w:val="both"/>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68"/>
        <w:gridCol w:w="200"/>
        <w:gridCol w:w="67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valuations of comparable public companies (“Guideline Comparable Approach”);</w:t>
            </w:r>
          </w:p>
        </w:tc>
      </w:tr>
    </w:tbl>
    <w:p>
      <w:pPr>
        <w:pStyle w:val="TextBody"/>
        <w:bidi w:val="0"/>
        <w:spacing w:before="0" w:after="0"/>
        <w:jc w:val="both"/>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68"/>
        <w:gridCol w:w="200"/>
        <w:gridCol w:w="77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recent sales of private and public comparable companies (“Guideline Comparable Approach”);</w:t>
            </w:r>
          </w:p>
        </w:tc>
      </w:tr>
    </w:tbl>
    <w:p>
      <w:pPr>
        <w:pStyle w:val="TextBody"/>
        <w:bidi w:val="0"/>
        <w:spacing w:before="0" w:after="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68"/>
        <w:gridCol w:w="200"/>
        <w:gridCol w:w="93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recent acquisition prices of the company, debt securities or equity securities (“Recent Arms-Length Transaction”);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external valuations of the portfolio company, offers from third parties to buy the company (“Estimated Sales Proceeds Approach”);</w:t>
            </w:r>
          </w:p>
        </w:tc>
      </w:tr>
    </w:tbl>
    <w:p>
      <w:pPr>
        <w:pStyle w:val="TextBody"/>
        <w:bidi w:val="0"/>
        <w:spacing w:before="0" w:after="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68"/>
        <w:gridCol w:w="200"/>
        <w:gridCol w:w="83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sales made by the Company of its investments (“Expected Sales Proceeds Approach”); and</w:t>
            </w:r>
          </w:p>
        </w:tc>
      </w:tr>
    </w:tbl>
    <w:p>
      <w:pPr>
        <w:pStyle w:val="TextBody"/>
        <w:bidi w:val="0"/>
        <w:spacing w:before="0" w:after="0"/>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68"/>
        <w:gridCol w:w="200"/>
        <w:gridCol w:w="33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estimating the value to potential buyers.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methodologies and information that the Company utilizes when applying the Income Approach for performing investments include: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discounting the forecasted cash flows of the portfolio company or securities (Discounted Cash Flow (“DCF”) Approach);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Black-Scholes model or simulation models or a combination thereof (Income Approach - Option Model) with respect to the valuation of warrants.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non-performing investments, we may estimate the liquidation or collateral value of the portfolio company’s assets and liabilities using an expected recovery model (Market Approach - Expected Recovery Analysis or Estimated Liquidation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a multi-step valuation process each quarter when valuing investments for which market quotations are not readily available, as described below:</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quarterly valuation process generally begins with each portfolio investment being initially valued by a Valuation Firm;</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Available third-party market data will be reviewed by Company personnel designated by the Valuation Designee (“Fair Value Personnel”) and the Valuation Firm.</w:t>
            </w:r>
          </w:p>
        </w:tc>
      </w:tr>
    </w:tbl>
    <w:p>
      <w:pPr>
        <w:pStyle w:val="TextBody"/>
        <w:bidi w:val="0"/>
        <w:spacing w:before="0" w:after="0"/>
        <w:jc w:val="both"/>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68"/>
        <w:gridCol w:w="200"/>
        <w:gridCol w:w="8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Available portfolio company data and general industry data are then reviewed by the Fair Value Personnel.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Preliminary valuation conclusions are then documented by the Valuation Firm and discussed with the Fair Value Personnel.</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Valuation Designee then determines the fair value of each investment in the Company’s portfolio in good faith based on such discussions, the Company’s Valuation Policy and the Valuation Firms’ final estimated valuations.</w:t>
            </w:r>
          </w:p>
        </w:tc>
      </w:tr>
    </w:tbl>
    <w:p>
      <w:pPr>
        <w:pStyle w:val="TextBody"/>
        <w:bidi w:val="0"/>
        <w:jc w:val="left"/>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68"/>
        <w:gridCol w:w="200"/>
        <w:gridCol w:w="83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Valuation Designee’s report is then presented to the Board of Directors and the Audit Committee.</w:t>
            </w:r>
          </w:p>
        </w:tc>
      </w:tr>
    </w:tbl>
    <w:p>
      <w:pPr>
        <w:pStyle w:val="TextBody"/>
        <w:bidi w:val="0"/>
        <w:spacing w:before="0" w:after="0"/>
        <w:ind w:left="520" w:right="0" w:hanging="2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inherent uncertainty of determining the fair value of investments that do not have a readily available market value, the fair value of our investments may differ from the values that would have been used had a readily available market value existed for such investments, and the differences could be material. In addition, changes in the market environment (including the impact of pandemics, wars, tariffs, or other events on financial markets), portfolio company performance, and other events may occur over the lives of the investments that may cause the gains or losses ultimately realized on these investments to be materially different than the valuations currently assigned.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certain of our financial instruments, including cash and cash equivalents, accounts payable and accrued expenses, approximate fair value due to their short-term nature. The carrying amounts and fair values of our long-term obligations are discussed in Note 5.</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the applicability and impact of all accounting standard updates (“ASU”) issued by the FASB. ASUs not listed were assessed by the Company and either determined to be not applicable or expected to have minimal impact on its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(“ASU 2023-07”),” which enhances disclosure requirements about significant segment expenses that are regularly provided to the chief operating decision maker (the “CODM”). ASU 2023-07, among other things, (i) requires a single segment public entity to provide all of the disclosures as required by Topic 280, (ii) requires a public entity to disclose the title and position of the CODM and an explanation of how the CODM uses the reported measure(s) of segment profit or loss in assessing segment performance and deciding how to allocate resources and (iii) provides the ability for a public entity to elect more than one performance measure. ASU 2023-07 is effective for the fiscal years beginning after September 30, 2024, and interim periods beginning after September 30, 2025 for the Company. Early adoption is permitted and retrospective adoption is required for all prior periods presented. The Company adopted the guidance during the year ended September 30, 2025 and its adoption did not have a material impact on the Company’s financial statements. See “Note 15 – Segment Reporting” for more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Improvements to Income Tax Disclosures (“ASU 2023-09”),” which intends to improve the transparency of income tax disclosures. ASU 2023-09 is effective for fiscal years beginning after December 15, 2024 and is to be adopted on a prospective basis with the option to apply retrospectively. The Company is currently assessing the impact of this guidance, however, the Company does not expect a material impact to its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(“ASU 2024-03”)”, which requires disaggregated disclosure of certain costs and expenses, including purchases of inventory, employee compensation, depreciation, amortization and depletion for oil and gas companies, within relevant income statement captions. ASU 2024-03 is effective for fiscal years beginning after December 15, 2026, and interim periods beginning after December 15, 2027, as clarified by ASU 2025-01, which was released by the FASB in January 2025. Early adoption and retrospective application is permitted. The Company is currently assessing the impact of this guidance, however, the Company does not expect a material impact on its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aforementioned guidance, the Company’s management does not believe that any recently issued, but not yet effective, accounting standards, if currently adopted, would have a material effect on the accompanying Consolidated Financial Statements.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Income Taxes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and intends to continue to qualify annually, to be treated as a RIC under Subchapter M of the Code. In order to continue to qualify as a RIC and be eligible for tax treatment under Subchapter M of the Code, among other things, the Company is required to meet certain source of income and asset diversification requirements and timely distribute to its stockholders at least 90% of the sum of investment company taxable income (“ICTI”), as defined by the Code, including PIK interest, and net tax exempt interest income (which is the excess of gross tax exempt interest income over certain disallowed deductions) for each taxable year. Depending on the level of ICTI earned in a tax year, the Company may choose to carry forward ICTI in excess of current year dividend distributions into the next tax year. Any such carryover ICTI must be distributed before the end of that next tax year through a dividend declared prior to filing the final tax return related to the year which generated such ICTI.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nondeductible U.S. federal excise tax of 4% on undistributed income if it does not distribute at least 98% of its ordinary income in any calendar year and 98.2% of its capital gain net income for each one-year period ending on October 31 of such calendar year and any income realized, but not distributed, in preceding years and on which it did not pay federal income tax.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There was no provision for federal excise tax at June 30, 2026 and September 30, 2025. On December 13, 2024, the Company identified that it did not distribute at least 90% of its investment company taxable income for the tax year ended September 30, 2023. The Company filed Form 8927 on December 16, 2024 notifying the IRS.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Taxable Subsidiaries accrue income taxes payable based on the applicable corporate rates on the unrealized gains generated by the investments held by the Taxable Subsidiaries. As of June 30, 2026 and September 30, 2025, the Company recorded a net deferred tax asset of $670,560 and $1,234,847 respectively, on the Consolidated Statements of Assets and Liabilities. The change in provision for deferred taxes is included as a component of net realized and unrealized gain/(loss) on the Consolidated Statements of Operations. For the three and nine months ended June 30, 2026, the Company recorded a change in provision for deferred taxes of $(86,737) and $(676,181) respectively, on the unrealized (appreciation)/depreciation on investments. For the three and nine months ended June 30, 2025, the Company recorded a change in provision for deferred taxes of $55,511 and $(274,125) respectively, on the unrealized (appreciation)/depreciation on investments.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the Company had a deferred tax asset of $13.1 million and $14.4 million, respectively, consisting primarily of net operating losses and net unrealized losses on the investments held within its Taxable Subsidiaries. As of June 30, 2026 and September 30, 2025, the Company has booked a valuation allowance of $12.5 million and $13.2 million, respectively, against its deferred tax asset.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ICTI generally differs from net investment income for financial reporting purposes due to temporary and permanent differences in the recognition of income and expenses. The Company may be required to recognize ICTI in certain circumstances in which it does not receive cash. For example, if the Company holds debt obligations that are treated under applicable tax rules as having original issue discount, the Company must include in ICTI each year a portion of the original issue discount that accrues over the life of the obligation, regardless of whether cash representing such income is received by the Company in the same taxable year. The Company may also have to include in ICTI other amounts that it has not yet received in cash, such as 1) PIK interest income and 2) interest income from investments that have been classified as non-accrual for financial reporting purposes. Interest income on non-accrual investments is not recognized for financial reporting purposes, but generally is recognized in ICTI. Because any original issue discount or other amounts accrued will be included in the Company’s ICTI for the year of accrual, the Company may be required to make a distribution to its stockholders in order to satisfy the minimum distribution requirements, even though the Company will not have received and may not ever receive any corresponding cash amount. ICTI also excludes net unrealized appreciation or depreciation, as investment gains or losses are not included in taxable income until they are realized.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in conformity with ASC Topic 740 - Income Taxes (“ASC 740”). ASC 740 provides guidelines for how uncertain tax positions should be recognized, measured, presented and disclosed in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There were no material uncertain income tax positions at June 30, 2026. Although we file federal and state tax returns, our major tax jurisdiction is federal. The Company’s federal and state tax returns for the prior four fiscal years remain open, subject to examination by the Internal Revenue Service and applicable state tax authorities.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Investment Risk, Concentration of Credit Risk, and Liquidity Risk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broad discretion in making investments. Its debt or equity investments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Company’s investments in loans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Investments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our investments as of June 30, 2026 as a percentage of our total portfolio, at amortized cost and fair value were as follows (dollars in thousands):</w:t>
      </w:r>
    </w:p>
    <w:p>
      <w:pPr>
        <w:pStyle w:val="TextBody"/>
        <w:bidi w:val="0"/>
        <w:spacing w:before="0" w:after="0"/>
        <w:jc w:val="both"/>
        <w:rPr>
          <w:caps w:val="false"/>
          <w:smallCaps w:val="false"/>
        </w:rPr>
      </w:pPr>
      <w:r>
        <w:rPr>
          <w:caps w:val="false"/>
          <w:smallCaps w:val="false"/>
        </w:rPr>
        <w:t> </w:t>
      </w:r>
    </w:p>
    <w:tbl>
      <w:tblPr>
        <w:tblW w:w="8619" w:type="dxa"/>
        <w:jc w:val="left"/>
        <w:tblInd w:w="0" w:type="dxa"/>
        <w:tblLayout w:type="fixed"/>
        <w:tblCellMar>
          <w:top w:w="0" w:type="dxa"/>
          <w:left w:w="0" w:type="dxa"/>
          <w:bottom w:w="0" w:type="dxa"/>
          <w:right w:w="0" w:type="dxa"/>
        </w:tblCellMar>
      </w:tblPr>
      <w:tblGrid>
        <w:gridCol w:w="3110"/>
        <w:gridCol w:w="90"/>
        <w:gridCol w:w="155"/>
        <w:gridCol w:w="1385"/>
        <w:gridCol w:w="90"/>
        <w:gridCol w:w="90"/>
        <w:gridCol w:w="148"/>
        <w:gridCol w:w="847"/>
        <w:gridCol w:w="215"/>
        <w:gridCol w:w="90"/>
        <w:gridCol w:w="169"/>
        <w:gridCol w:w="795"/>
        <w:gridCol w:w="90"/>
        <w:gridCol w:w="90"/>
        <w:gridCol w:w="148"/>
        <w:gridCol w:w="847"/>
        <w:gridCol w:w="260"/>
      </w:tblGrid>
      <w:tr>
        <w:trPr/>
        <w:tc>
          <w:tcPr>
            <w:tcW w:w="3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r>
          </w:p>
        </w:tc>
        <w:tc>
          <w:tcPr>
            <w:tcW w:w="26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133,882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119,447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Secured Notes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c>
          <w:tcPr>
            <w:tcW w:w="26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 Investment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w:t>
            </w:r>
          </w:p>
        </w:tc>
        <w:tc>
          <w:tcPr>
            <w:tcW w:w="26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Equity/Warrants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176,318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 w:type="dxa"/>
            <w:tcBorders>
              <w:bottom w:val="single" w:sz="12" w:space="0" w:color="000000"/>
            </w:tcBorders>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53.9</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164,666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 w:type="dxa"/>
            <w:tcBorders>
              <w:bottom w:val="single" w:sz="12" w:space="0" w:color="000000"/>
            </w:tcBorders>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54.6</w:t>
            </w:r>
          </w:p>
        </w:tc>
        <w:tc>
          <w:tcPr>
            <w:tcW w:w="26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Investments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327,414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6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301,637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our investments as of September 30, 2025 as a percentage of our total portfolio, at amortized cost and fair value were as follows (dollars in thousands): </w:t>
      </w:r>
    </w:p>
    <w:p>
      <w:pPr>
        <w:pStyle w:val="TextBody"/>
        <w:bidi w:val="0"/>
        <w:spacing w:before="0" w:after="0"/>
        <w:jc w:val="both"/>
        <w:rPr>
          <w:caps w:val="false"/>
          <w:smallCaps w:val="false"/>
        </w:rPr>
      </w:pPr>
      <w:r>
        <w:rPr>
          <w:caps w:val="false"/>
          <w:smallCaps w:val="false"/>
        </w:rPr>
        <w:t> </w:t>
      </w:r>
    </w:p>
    <w:tbl>
      <w:tblPr>
        <w:tblW w:w="9984" w:type="dxa"/>
        <w:jc w:val="left"/>
        <w:tblInd w:w="0" w:type="dxa"/>
        <w:tblLayout w:type="fixed"/>
        <w:tblCellMar>
          <w:top w:w="0" w:type="dxa"/>
          <w:left w:w="0" w:type="dxa"/>
          <w:bottom w:w="0" w:type="dxa"/>
          <w:right w:w="0" w:type="dxa"/>
        </w:tblCellMar>
      </w:tblPr>
      <w:tblGrid>
        <w:gridCol w:w="3695"/>
        <w:gridCol w:w="90"/>
        <w:gridCol w:w="170"/>
        <w:gridCol w:w="1550"/>
        <w:gridCol w:w="90"/>
        <w:gridCol w:w="90"/>
        <w:gridCol w:w="155"/>
        <w:gridCol w:w="1020"/>
        <w:gridCol w:w="245"/>
        <w:gridCol w:w="90"/>
        <w:gridCol w:w="194"/>
        <w:gridCol w:w="950"/>
        <w:gridCol w:w="90"/>
        <w:gridCol w:w="90"/>
        <w:gridCol w:w="155"/>
        <w:gridCol w:w="1020"/>
        <w:gridCol w:w="290"/>
      </w:tblGrid>
      <w:tr>
        <w:trPr/>
        <w:tc>
          <w:tcPr>
            <w:tcW w:w="36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50" w:type="dxa"/>
            <w:tcBorders/>
            <w:shd w:fill="CCEEFF" w:val="clear"/>
            <w:vAlign w:val="center"/>
          </w:tcPr>
          <w:p>
            <w:pPr>
              <w:pStyle w:val="TableContents"/>
              <w:bidi w:val="0"/>
              <w:spacing w:before="0" w:after="283"/>
              <w:jc w:val="right"/>
              <w:rPr/>
            </w:pPr>
            <w:r>
              <w:rPr/>
              <w:t>            </w:t>
            </w:r>
            <w:r>
              <w:rPr/>
              <w:t>125,373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38.6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116,567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38.6</w:t>
            </w:r>
          </w:p>
        </w:tc>
        <w:tc>
          <w:tcPr>
            <w:tcW w:w="290" w:type="dxa"/>
            <w:tcBorders/>
            <w:shd w:fill="CCEEFF" w:val="clear"/>
            <w:vAlign w:val="center"/>
          </w:tcPr>
          <w:p>
            <w:pPr>
              <w:pStyle w:val="TableContents"/>
              <w:bidi w:val="0"/>
              <w:spacing w:before="0" w:after="283"/>
              <w:jc w:val="left"/>
              <w:rPr/>
            </w:pPr>
            <w:r>
              <w:rPr/>
              <w:t>%</w:t>
            </w:r>
          </w:p>
        </w:tc>
      </w:tr>
      <w:tr>
        <w:trPr/>
        <w:tc>
          <w:tcPr>
            <w:tcW w:w="3695" w:type="dxa"/>
            <w:tcBorders/>
            <w:vAlign w:val="center"/>
          </w:tcPr>
          <w:p>
            <w:pPr>
              <w:pStyle w:val="TableContents"/>
              <w:bidi w:val="0"/>
              <w:spacing w:before="0" w:after="283"/>
              <w:jc w:val="left"/>
              <w:rPr/>
            </w:pPr>
            <w:r>
              <w:rPr/>
              <w:t>Senior Secured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right"/>
              <w:rPr/>
            </w:pPr>
            <w:r>
              <w:rPr/>
              <w:t>17,039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5.3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17,457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5.8</w:t>
            </w:r>
          </w:p>
        </w:tc>
        <w:tc>
          <w:tcPr>
            <w:tcW w:w="29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Fund Investment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2,194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0.7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2,227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0.7</w:t>
            </w:r>
          </w:p>
        </w:tc>
        <w:tc>
          <w:tcPr>
            <w:tcW w:w="29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50" w:type="dxa"/>
            <w:tcBorders>
              <w:bottom w:val="single" w:sz="12" w:space="0" w:color="000000"/>
            </w:tcBorders>
            <w:tcMar>
              <w:bottom w:w="28" w:type="dxa"/>
            </w:tcMar>
            <w:vAlign w:val="center"/>
          </w:tcPr>
          <w:p>
            <w:pPr>
              <w:pStyle w:val="TableContents"/>
              <w:bidi w:val="0"/>
              <w:spacing w:before="0" w:after="283"/>
              <w:jc w:val="right"/>
              <w:rPr/>
            </w:pPr>
            <w:r>
              <w:rPr/>
              <w:t>179,783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55.4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pPr>
            <w:r>
              <w:rPr/>
              <w:t>166,021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54.9</w:t>
            </w:r>
          </w:p>
        </w:tc>
        <w:tc>
          <w:tcPr>
            <w:tcW w:w="29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b/>
              </w:rPr>
            </w:pPr>
            <w:r>
              <w:rPr>
                <w:b/>
              </w:rPr>
              <w:t>Total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50" w:type="dxa"/>
            <w:tcBorders>
              <w:bottom w:val="double" w:sz="10" w:space="0" w:color="000000"/>
            </w:tcBorders>
            <w:shd w:fill="CCEEFF" w:val="clear"/>
            <w:tcMar>
              <w:bottom w:w="28" w:type="dxa"/>
            </w:tcMar>
            <w:vAlign w:val="center"/>
          </w:tcPr>
          <w:p>
            <w:pPr>
              <w:pStyle w:val="TableContents"/>
              <w:bidi w:val="0"/>
              <w:spacing w:before="0" w:after="283"/>
              <w:jc w:val="right"/>
              <w:rPr/>
            </w:pPr>
            <w:r>
              <w:rPr/>
              <w:t>324,389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pPr>
            <w:r>
              <w:rPr/>
              <w:t>302,272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certain of the Company’s investments, the Company receives warrants that are obtained for the objective of increasing the total investment returns and are not held for hedging purposes. At June 30, 2026 and September 30, 2025, the total fair value of warrants was $878.3 thousand and $815.5 thousand, respectively, and were included in investments at fair value on the Consolidated Statements of Assets and Liabilities. During the three and nine months ended June 30, 2026, the Company acquired warrants in zero and one existing portfolio company, respectively. During the three and nine months ended June 30, 2025, the Company acquired warrants in zero and one existing portfolio company,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change in unrealized appreciation/(depreciation) related to warrants for the three and nine months ended June 30, 2026 was $(18.2) thousand and $(807.4) thousand, respectively, and was recorded on the Consolidated Statements of Operations as net change in unrealized appreciation/(depreciation) on investments. Total change in unrealized appreciation/(depreciation) related to warrants for the three and nine months ended June 30, 2025 was $434.7 thousand and $(59.0) thousand, respectively, and was recorded on the Consolidated Statements of Operations as net change in unrealized appreciation/(depreciation) on investments. The warrants are received in connection with individual investments and are not subject to master netting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portfolio composition by industry grouping at fair value at June 30, 2026 (dollars in thousands):</w:t>
      </w:r>
    </w:p>
    <w:p>
      <w:pPr>
        <w:pStyle w:val="TextBody"/>
        <w:bidi w:val="0"/>
        <w:spacing w:before="0" w:after="0"/>
        <w:jc w:val="both"/>
        <w:rPr>
          <w:caps w:val="false"/>
          <w:smallCaps w:val="false"/>
        </w:rPr>
      </w:pPr>
      <w:r>
        <w:rPr>
          <w:caps w:val="false"/>
          <w:smallCaps w:val="false"/>
        </w:rPr>
        <w:t> </w:t>
      </w:r>
    </w:p>
    <w:tbl>
      <w:tblPr>
        <w:tblW w:w="6394" w:type="dxa"/>
        <w:jc w:val="left"/>
        <w:tblInd w:w="0" w:type="dxa"/>
        <w:tblLayout w:type="fixed"/>
        <w:tblCellMar>
          <w:top w:w="0" w:type="dxa"/>
          <w:left w:w="0" w:type="dxa"/>
          <w:bottom w:w="0" w:type="dxa"/>
          <w:right w:w="0" w:type="dxa"/>
        </w:tblCellMar>
      </w:tblPr>
      <w:tblGrid>
        <w:gridCol w:w="3515"/>
        <w:gridCol w:w="90"/>
        <w:gridCol w:w="194"/>
        <w:gridCol w:w="950"/>
        <w:gridCol w:w="90"/>
        <w:gridCol w:w="90"/>
        <w:gridCol w:w="155"/>
        <w:gridCol w:w="1020"/>
        <w:gridCol w:w="290"/>
      </w:tblGrid>
      <w:tr>
        <w:trPr/>
        <w:tc>
          <w:tcPr>
            <w:tcW w:w="3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Insurance</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58,515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19.4</w:t>
            </w:r>
          </w:p>
        </w:tc>
        <w:tc>
          <w:tcPr>
            <w:tcW w:w="290" w:type="dxa"/>
            <w:tcBorders/>
            <w:shd w:fill="CCEEFF" w:val="clear"/>
            <w:vAlign w:val="center"/>
          </w:tcPr>
          <w:p>
            <w:pPr>
              <w:pStyle w:val="TableContents"/>
              <w:bidi w:val="0"/>
              <w:spacing w:before="0" w:after="283"/>
              <w:jc w:val="left"/>
              <w:rPr/>
            </w:pPr>
            <w:r>
              <w:rPr/>
              <w:t>%</w:t>
            </w:r>
          </w:p>
        </w:tc>
      </w:tr>
      <w:tr>
        <w:trPr/>
        <w:tc>
          <w:tcPr>
            <w:tcW w:w="3515" w:type="dxa"/>
            <w:tcBorders/>
            <w:vAlign w:val="center"/>
          </w:tcPr>
          <w:p>
            <w:pPr>
              <w:pStyle w:val="TableContents"/>
              <w:bidi w:val="0"/>
              <w:spacing w:before="0" w:after="283"/>
              <w:jc w:val="left"/>
              <w:rPr/>
            </w:pPr>
            <w:r>
              <w:rPr/>
              <w:t>Services: Business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50,143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16.6</w:t>
            </w:r>
          </w:p>
        </w:tc>
        <w:tc>
          <w:tcPr>
            <w:tcW w:w="29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Services: Consumer</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35,805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11.9</w:t>
            </w:r>
          </w:p>
        </w:tc>
        <w:tc>
          <w:tcPr>
            <w:tcW w:w="29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Real Estate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35,163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11.7</w:t>
            </w:r>
          </w:p>
        </w:tc>
        <w:tc>
          <w:tcPr>
            <w:tcW w:w="29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Construction &amp; Building</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30,836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10.2</w:t>
            </w:r>
          </w:p>
        </w:tc>
        <w:tc>
          <w:tcPr>
            <w:tcW w:w="29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Aerospace &amp; Defense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27,749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9.2</w:t>
            </w:r>
          </w:p>
        </w:tc>
        <w:tc>
          <w:tcPr>
            <w:tcW w:w="29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Hotel, Gaming &amp; Leisure</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20,154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6.7</w:t>
            </w:r>
          </w:p>
        </w:tc>
        <w:tc>
          <w:tcPr>
            <w:tcW w:w="29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High Tech Industries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19,583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6.5</w:t>
            </w:r>
          </w:p>
        </w:tc>
        <w:tc>
          <w:tcPr>
            <w:tcW w:w="29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Media: Broadcasting &amp; Subscription</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9,425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3.1</w:t>
            </w:r>
          </w:p>
        </w:tc>
        <w:tc>
          <w:tcPr>
            <w:tcW w:w="29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Automotive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8,894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2.9</w:t>
            </w:r>
          </w:p>
        </w:tc>
        <w:tc>
          <w:tcPr>
            <w:tcW w:w="29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Consumer Discretionary</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2,958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1.0</w:t>
            </w:r>
          </w:p>
        </w:tc>
        <w:tc>
          <w:tcPr>
            <w:tcW w:w="29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Banking</w:t>
            </w:r>
          </w:p>
        </w:tc>
        <w:tc>
          <w:tcPr>
            <w:tcW w:w="90"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pPr>
            <w:r>
              <w:rPr/>
              <w:t>2,412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0.8</w:t>
            </w:r>
          </w:p>
        </w:tc>
        <w:tc>
          <w:tcPr>
            <w:tcW w:w="29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pPr>
            <w:r>
              <w:rPr/>
              <w:t>301,637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3. Investments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portfolio composition by industry grouping at fair value at September 30, 2025 (dollars in thousands):</w:t>
      </w:r>
    </w:p>
    <w:p>
      <w:pPr>
        <w:pStyle w:val="TextBody"/>
        <w:bidi w:val="0"/>
        <w:spacing w:before="0" w:after="0"/>
        <w:jc w:val="both"/>
        <w:rPr>
          <w:caps w:val="false"/>
          <w:smallCaps w:val="false"/>
        </w:rPr>
      </w:pPr>
      <w:r>
        <w:rPr>
          <w:caps w:val="false"/>
          <w:smallCaps w:val="false"/>
        </w:rPr>
        <w:t> </w:t>
      </w:r>
    </w:p>
    <w:tbl>
      <w:tblPr>
        <w:tblW w:w="6394" w:type="dxa"/>
        <w:jc w:val="left"/>
        <w:tblInd w:w="0" w:type="dxa"/>
        <w:tblLayout w:type="fixed"/>
        <w:tblCellMar>
          <w:top w:w="0" w:type="dxa"/>
          <w:left w:w="0" w:type="dxa"/>
          <w:bottom w:w="0" w:type="dxa"/>
          <w:right w:w="0" w:type="dxa"/>
        </w:tblCellMar>
      </w:tblPr>
      <w:tblGrid>
        <w:gridCol w:w="3515"/>
        <w:gridCol w:w="90"/>
        <w:gridCol w:w="194"/>
        <w:gridCol w:w="950"/>
        <w:gridCol w:w="90"/>
        <w:gridCol w:w="90"/>
        <w:gridCol w:w="155"/>
        <w:gridCol w:w="1020"/>
        <w:gridCol w:w="290"/>
      </w:tblGrid>
      <w:tr>
        <w:trPr/>
        <w:tc>
          <w:tcPr>
            <w:tcW w:w="3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Services: Business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56,249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18.6</w:t>
            </w:r>
          </w:p>
        </w:tc>
        <w:tc>
          <w:tcPr>
            <w:tcW w:w="290" w:type="dxa"/>
            <w:tcBorders/>
            <w:shd w:fill="CCEEFF" w:val="clear"/>
            <w:vAlign w:val="center"/>
          </w:tcPr>
          <w:p>
            <w:pPr>
              <w:pStyle w:val="TableContents"/>
              <w:bidi w:val="0"/>
              <w:spacing w:before="0" w:after="283"/>
              <w:jc w:val="left"/>
              <w:rPr/>
            </w:pPr>
            <w:r>
              <w:rPr/>
              <w:t>%</w:t>
            </w:r>
          </w:p>
        </w:tc>
      </w:tr>
      <w:tr>
        <w:trPr/>
        <w:tc>
          <w:tcPr>
            <w:tcW w:w="3515" w:type="dxa"/>
            <w:tcBorders/>
            <w:vAlign w:val="center"/>
          </w:tcPr>
          <w:p>
            <w:pPr>
              <w:pStyle w:val="TableContents"/>
              <w:bidi w:val="0"/>
              <w:spacing w:before="0" w:after="283"/>
              <w:jc w:val="left"/>
              <w:rPr/>
            </w:pPr>
            <w:r>
              <w:rPr/>
              <w:t>Insurance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48,470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16.0</w:t>
            </w:r>
          </w:p>
        </w:tc>
        <w:tc>
          <w:tcPr>
            <w:tcW w:w="29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Real Estate</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47,632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15.8</w:t>
            </w:r>
          </w:p>
        </w:tc>
        <w:tc>
          <w:tcPr>
            <w:tcW w:w="29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Services: Consumer</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38,418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12.7</w:t>
            </w:r>
          </w:p>
        </w:tc>
        <w:tc>
          <w:tcPr>
            <w:tcW w:w="29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Aerospace &amp; Defense</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25,881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8.6</w:t>
            </w:r>
          </w:p>
        </w:tc>
        <w:tc>
          <w:tcPr>
            <w:tcW w:w="29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Hotel, Gaming &amp; Leisure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22,328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7.4</w:t>
            </w:r>
          </w:p>
        </w:tc>
        <w:tc>
          <w:tcPr>
            <w:tcW w:w="29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Construction &amp; Building</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18,131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High Tech Industries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16,961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5.6</w:t>
            </w:r>
          </w:p>
        </w:tc>
        <w:tc>
          <w:tcPr>
            <w:tcW w:w="29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Metals &amp; Mining</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8,763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2.9</w:t>
            </w:r>
          </w:p>
        </w:tc>
        <w:tc>
          <w:tcPr>
            <w:tcW w:w="29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Automotive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7,860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2.6</w:t>
            </w:r>
          </w:p>
        </w:tc>
        <w:tc>
          <w:tcPr>
            <w:tcW w:w="29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Media: Broadcasting &amp; Subscription</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4,850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1.6</w:t>
            </w:r>
          </w:p>
        </w:tc>
        <w:tc>
          <w:tcPr>
            <w:tcW w:w="29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Consumer Discretionary</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4,502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1.5</w:t>
            </w:r>
          </w:p>
        </w:tc>
        <w:tc>
          <w:tcPr>
            <w:tcW w:w="29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Banking</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2,227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0.7</w:t>
            </w:r>
          </w:p>
        </w:tc>
        <w:tc>
          <w:tcPr>
            <w:tcW w:w="29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tcMar>
              <w:bottom w:w="28" w:type="dxa"/>
            </w:tcMar>
            <w:vAlign w:val="center"/>
          </w:tcPr>
          <w:p>
            <w:pPr>
              <w:pStyle w:val="TableContents"/>
              <w:bidi w:val="0"/>
              <w:spacing w:before="0" w:after="283"/>
              <w:jc w:val="right"/>
              <w:rPr/>
            </w:pPr>
            <w:r>
              <w:rPr/>
              <w:t>302,272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tcMar>
              <w:bottom w:w="28" w:type="dxa"/>
            </w:tcMar>
            <w:vAlign w:val="center"/>
          </w:tcPr>
          <w:p>
            <w:pPr>
              <w:pStyle w:val="TableContents"/>
              <w:bidi w:val="0"/>
              <w:spacing w:before="0" w:after="283"/>
              <w:jc w:val="right"/>
              <w:rPr/>
            </w:pPr>
            <w:r>
              <w:rPr/>
              <w:t>100.0</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invests in portfolio companies principally located in the United States. The geographic composition is determined by the location of the corporate headquarters of the portfolio company, which may not be indicative of the primary source of the portfolio company’s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portfolio composition by geographic location at fair value at June 30, 2026 (dollars in thousands):</w:t>
      </w:r>
    </w:p>
    <w:p>
      <w:pPr>
        <w:pStyle w:val="TextBody"/>
        <w:bidi w:val="0"/>
        <w:spacing w:before="0" w:after="0"/>
        <w:jc w:val="both"/>
        <w:rPr>
          <w:caps w:val="false"/>
          <w:smallCaps w:val="false"/>
        </w:rPr>
      </w:pPr>
      <w:r>
        <w:rPr>
          <w:caps w:val="false"/>
          <w:smallCaps w:val="false"/>
        </w:rPr>
        <w:t> </w:t>
      </w:r>
    </w:p>
    <w:tbl>
      <w:tblPr>
        <w:tblW w:w="4159" w:type="dxa"/>
        <w:jc w:val="left"/>
        <w:tblInd w:w="0" w:type="dxa"/>
        <w:tblLayout w:type="fixed"/>
        <w:tblCellMar>
          <w:top w:w="0" w:type="dxa"/>
          <w:left w:w="0" w:type="dxa"/>
          <w:bottom w:w="0" w:type="dxa"/>
          <w:right w:w="0" w:type="dxa"/>
        </w:tblCellMar>
      </w:tblPr>
      <w:tblGrid>
        <w:gridCol w:w="1280"/>
        <w:gridCol w:w="90"/>
        <w:gridCol w:w="194"/>
        <w:gridCol w:w="950"/>
        <w:gridCol w:w="90"/>
        <w:gridCol w:w="90"/>
        <w:gridCol w:w="155"/>
        <w:gridCol w:w="1020"/>
        <w:gridCol w:w="290"/>
      </w:tblGrid>
      <w:tr>
        <w:trPr/>
        <w:tc>
          <w:tcPr>
            <w:tcW w:w="1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Southeast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114,342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37.8</w:t>
            </w:r>
          </w:p>
        </w:tc>
        <w:tc>
          <w:tcPr>
            <w:tcW w:w="290" w:type="dxa"/>
            <w:tcBorders/>
            <w:shd w:fill="CCEEFF" w:val="clear"/>
            <w:vAlign w:val="center"/>
          </w:tcPr>
          <w:p>
            <w:pPr>
              <w:pStyle w:val="TableContents"/>
              <w:bidi w:val="0"/>
              <w:spacing w:before="0" w:after="283"/>
              <w:jc w:val="left"/>
              <w:rPr/>
            </w:pPr>
            <w:r>
              <w:rPr/>
              <w:t>%</w:t>
            </w:r>
          </w:p>
        </w:tc>
      </w:tr>
      <w:tr>
        <w:trPr/>
        <w:tc>
          <w:tcPr>
            <w:tcW w:w="1280" w:type="dxa"/>
            <w:tcBorders/>
            <w:vAlign w:val="center"/>
          </w:tcPr>
          <w:p>
            <w:pPr>
              <w:pStyle w:val="TableContents"/>
              <w:bidi w:val="0"/>
              <w:spacing w:before="0" w:after="283"/>
              <w:jc w:val="left"/>
              <w:rPr/>
            </w:pPr>
            <w:r>
              <w:rPr/>
              <w:t>Northeast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108,442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36.0</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West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35,609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11.8</w:t>
            </w:r>
          </w:p>
        </w:tc>
        <w:tc>
          <w:tcPr>
            <w:tcW w:w="29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Southwest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18,951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6.3</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International</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12,539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4.2</w:t>
            </w:r>
          </w:p>
        </w:tc>
        <w:tc>
          <w:tcPr>
            <w:tcW w:w="29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Midwest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11,436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3.8</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Mid-Atlantic</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318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0.1</w:t>
            </w:r>
          </w:p>
        </w:tc>
        <w:tc>
          <w:tcPr>
            <w:tcW w:w="29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tcMar>
              <w:bottom w:w="28" w:type="dxa"/>
            </w:tcMar>
            <w:vAlign w:val="center"/>
          </w:tcPr>
          <w:p>
            <w:pPr>
              <w:pStyle w:val="TableContents"/>
              <w:bidi w:val="0"/>
              <w:spacing w:before="0" w:after="283"/>
              <w:jc w:val="right"/>
              <w:rPr/>
            </w:pPr>
            <w:r>
              <w:rPr/>
              <w:t>301,637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tcMar>
              <w:bottom w:w="28" w:type="dxa"/>
            </w:tcMar>
            <w:vAlign w:val="center"/>
          </w:tcPr>
          <w:p>
            <w:pPr>
              <w:pStyle w:val="TableContents"/>
              <w:bidi w:val="0"/>
              <w:spacing w:before="0" w:after="283"/>
              <w:jc w:val="right"/>
              <w:rPr/>
            </w:pPr>
            <w:r>
              <w:rPr/>
              <w:t>100.0</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portfolio composition by geographic location at fair value at September 30, 2025 (dollars in thousands):</w:t>
      </w:r>
    </w:p>
    <w:p>
      <w:pPr>
        <w:pStyle w:val="TextBody"/>
        <w:bidi w:val="0"/>
        <w:spacing w:before="0" w:after="0"/>
        <w:jc w:val="both"/>
        <w:rPr>
          <w:caps w:val="false"/>
          <w:smallCaps w:val="false"/>
        </w:rPr>
      </w:pPr>
      <w:r>
        <w:rPr>
          <w:caps w:val="false"/>
          <w:smallCaps w:val="false"/>
        </w:rPr>
        <w:t> </w:t>
      </w:r>
    </w:p>
    <w:tbl>
      <w:tblPr>
        <w:tblW w:w="4159" w:type="dxa"/>
        <w:jc w:val="left"/>
        <w:tblInd w:w="0" w:type="dxa"/>
        <w:tblLayout w:type="fixed"/>
        <w:tblCellMar>
          <w:top w:w="0" w:type="dxa"/>
          <w:left w:w="0" w:type="dxa"/>
          <w:bottom w:w="0" w:type="dxa"/>
          <w:right w:w="0" w:type="dxa"/>
        </w:tblCellMar>
      </w:tblPr>
      <w:tblGrid>
        <w:gridCol w:w="1280"/>
        <w:gridCol w:w="90"/>
        <w:gridCol w:w="194"/>
        <w:gridCol w:w="950"/>
        <w:gridCol w:w="90"/>
        <w:gridCol w:w="90"/>
        <w:gridCol w:w="155"/>
        <w:gridCol w:w="1020"/>
        <w:gridCol w:w="290"/>
      </w:tblGrid>
      <w:tr>
        <w:trPr/>
        <w:tc>
          <w:tcPr>
            <w:tcW w:w="1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Northeast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114,610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37.9</w:t>
            </w:r>
          </w:p>
        </w:tc>
        <w:tc>
          <w:tcPr>
            <w:tcW w:w="290" w:type="dxa"/>
            <w:tcBorders/>
            <w:shd w:fill="CCEEFF" w:val="clear"/>
            <w:vAlign w:val="center"/>
          </w:tcPr>
          <w:p>
            <w:pPr>
              <w:pStyle w:val="TableContents"/>
              <w:bidi w:val="0"/>
              <w:spacing w:before="0" w:after="283"/>
              <w:jc w:val="left"/>
              <w:rPr/>
            </w:pPr>
            <w:r>
              <w:rPr/>
              <w:t>%</w:t>
            </w:r>
          </w:p>
        </w:tc>
      </w:tr>
      <w:tr>
        <w:trPr/>
        <w:tc>
          <w:tcPr>
            <w:tcW w:w="1280" w:type="dxa"/>
            <w:tcBorders/>
            <w:vAlign w:val="center"/>
          </w:tcPr>
          <w:p>
            <w:pPr>
              <w:pStyle w:val="TableContents"/>
              <w:bidi w:val="0"/>
              <w:spacing w:before="0" w:after="283"/>
              <w:jc w:val="left"/>
              <w:rPr/>
            </w:pPr>
            <w:r>
              <w:rPr/>
              <w:t>Southeast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106,037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35.1</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West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31,549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10.4</w:t>
            </w:r>
          </w:p>
        </w:tc>
        <w:tc>
          <w:tcPr>
            <w:tcW w:w="29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Midwest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19,272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6.4</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Southwest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15,645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5.2</w:t>
            </w:r>
          </w:p>
        </w:tc>
        <w:tc>
          <w:tcPr>
            <w:tcW w:w="29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International</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14,845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4.9</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Mid-Atlantic</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314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0.1</w:t>
            </w:r>
          </w:p>
        </w:tc>
        <w:tc>
          <w:tcPr>
            <w:tcW w:w="29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tcMar>
              <w:bottom w:w="28" w:type="dxa"/>
            </w:tcMar>
            <w:vAlign w:val="center"/>
          </w:tcPr>
          <w:p>
            <w:pPr>
              <w:pStyle w:val="TableContents"/>
              <w:bidi w:val="0"/>
              <w:spacing w:before="0" w:after="283"/>
              <w:jc w:val="right"/>
              <w:rPr/>
            </w:pPr>
            <w:r>
              <w:rPr/>
              <w:t>302,272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tcMar>
              <w:bottom w:w="28" w:type="dxa"/>
            </w:tcMar>
            <w:vAlign w:val="center"/>
          </w:tcPr>
          <w:p>
            <w:pPr>
              <w:pStyle w:val="TableContents"/>
              <w:bidi w:val="0"/>
              <w:spacing w:before="0" w:after="283"/>
              <w:jc w:val="right"/>
              <w:rPr/>
            </w:pPr>
            <w:r>
              <w:rPr/>
              <w:t>100.0</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3. Investments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Affiliated/Controlled Companies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investments in portfolio companies designated as Affiliated Investments and Controlled Investments under the 1940 Act. Transactions with Affiliated Investments and Controlled Investments during the nine months ended June 30, 2026 and 2025 were as follows:</w:t>
      </w:r>
    </w:p>
    <w:p>
      <w:pPr>
        <w:pStyle w:val="TextBody"/>
        <w:bidi w:val="0"/>
        <w:spacing w:before="0" w:after="0"/>
        <w:jc w:val="both"/>
        <w:rPr>
          <w:caps w:val="false"/>
          <w:smallCaps w:val="false"/>
        </w:rPr>
      </w:pPr>
      <w:r>
        <w:rPr>
          <w:caps w:val="false"/>
          <w:smallCaps w:val="false"/>
        </w:rPr>
        <w:t> </w:t>
      </w:r>
    </w:p>
    <w:tbl>
      <w:tblPr>
        <w:tblW w:w="13545" w:type="dxa"/>
        <w:jc w:val="left"/>
        <w:tblInd w:w="0" w:type="dxa"/>
        <w:tblLayout w:type="fixed"/>
        <w:tblCellMar>
          <w:top w:w="0" w:type="dxa"/>
          <w:left w:w="0" w:type="dxa"/>
          <w:bottom w:w="28" w:type="dxa"/>
          <w:right w:w="0" w:type="dxa"/>
        </w:tblCellMar>
      </w:tblPr>
      <w:tblGrid>
        <w:gridCol w:w="1280"/>
        <w:gridCol w:w="90"/>
        <w:gridCol w:w="1175"/>
        <w:gridCol w:w="90"/>
        <w:gridCol w:w="196"/>
        <w:gridCol w:w="1309"/>
        <w:gridCol w:w="90"/>
        <w:gridCol w:w="90"/>
        <w:gridCol w:w="208"/>
        <w:gridCol w:w="1237"/>
        <w:gridCol w:w="125"/>
        <w:gridCol w:w="90"/>
        <w:gridCol w:w="228"/>
        <w:gridCol w:w="812"/>
        <w:gridCol w:w="90"/>
        <w:gridCol w:w="90"/>
        <w:gridCol w:w="170"/>
        <w:gridCol w:w="1085"/>
        <w:gridCol w:w="125"/>
        <w:gridCol w:w="90"/>
        <w:gridCol w:w="205"/>
        <w:gridCol w:w="715"/>
        <w:gridCol w:w="90"/>
        <w:gridCol w:w="90"/>
        <w:gridCol w:w="170"/>
        <w:gridCol w:w="1130"/>
        <w:gridCol w:w="90"/>
        <w:gridCol w:w="90"/>
        <w:gridCol w:w="170"/>
        <w:gridCol w:w="1010"/>
        <w:gridCol w:w="90"/>
        <w:gridCol w:w="90"/>
        <w:gridCol w:w="461"/>
        <w:gridCol w:w="339"/>
        <w:gridCol w:w="135"/>
      </w:tblGrid>
      <w:tr>
        <w:trPr/>
        <w:tc>
          <w:tcPr>
            <w:tcW w:w="1280" w:type="dxa"/>
            <w:tcBorders>
              <w:bottom w:val="single" w:sz="12" w:space="0" w:color="000000"/>
            </w:tcBorders>
            <w:vAlign w:val="center"/>
          </w:tcPr>
          <w:p>
            <w:pPr>
              <w:pStyle w:val="TableContents"/>
              <w:bidi w:val="0"/>
              <w:spacing w:before="0" w:after="283"/>
              <w:jc w:val="left"/>
              <w:rPr>
                <w:b/>
                <w:i w:val="false"/>
                <w:caps w:val="false"/>
                <w:smallCaps w:val="false"/>
              </w:rPr>
            </w:pPr>
            <w:r>
              <w:rPr>
                <w:b/>
                <w:i w:val="false"/>
                <w:caps w:val="false"/>
                <w:smallCaps w:val="false"/>
              </w:rPr>
              <w:t>Name of Investment</w:t>
            </w:r>
            <w:r>
              <w:rPr>
                <w:rFonts w:ascii="Times New Roman;Times;Serif" w:hAnsi="Times New Roman;Times;Serif"/>
                <w:b/>
                <w:i w:val="false"/>
                <w:caps w:val="false"/>
                <w:smallCaps w:val="false"/>
                <w:position w:val="7"/>
                <w:sz w:val="16"/>
                <w:sz w:val="20"/>
              </w:rPr>
              <w:t>(1)(2)</w:t>
            </w:r>
          </w:p>
        </w:tc>
        <w:tc>
          <w:tcPr>
            <w:tcW w:w="9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b/>
              </w:rPr>
            </w:pPr>
            <w:r>
              <w:rPr>
                <w:b/>
              </w:rPr>
              <w:t>Type of Investment</w:t>
            </w:r>
          </w:p>
        </w:tc>
        <w:tc>
          <w:tcPr>
            <w:tcW w:w="90" w:type="dxa"/>
            <w:tcBorders/>
            <w:tcMar>
              <w:bottom w:w="0" w:type="dxa"/>
            </w:tcMar>
            <w:vAlign w:val="center"/>
          </w:tcPr>
          <w:p>
            <w:pPr>
              <w:pStyle w:val="TableContents"/>
              <w:bidi w:val="0"/>
              <w:spacing w:before="0" w:after="283"/>
              <w:jc w:val="left"/>
              <w:rPr/>
            </w:pPr>
            <w:r>
              <w:rPr/>
              <w:t> </w:t>
            </w:r>
          </w:p>
        </w:tc>
        <w:tc>
          <w:tcPr>
            <w:tcW w:w="1505" w:type="dxa"/>
            <w:gridSpan w:val="2"/>
            <w:tcBorders>
              <w:bottom w:val="single" w:sz="12" w:space="0" w:color="000000"/>
            </w:tcBorders>
            <w:vAlign w:val="center"/>
          </w:tcPr>
          <w:p>
            <w:pPr>
              <w:pStyle w:val="TableContents"/>
              <w:bidi w:val="0"/>
              <w:spacing w:before="0" w:after="283"/>
              <w:jc w:val="center"/>
              <w:rPr>
                <w:b/>
              </w:rPr>
            </w:pPr>
            <w:r>
              <w:rPr>
                <w:b/>
              </w:rPr>
              <w:t>Fair Value at</w:t>
              <w:br/>
              <w:t>September 30,</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Purchases/(Sales)</w:t>
              <w:br/>
              <w:t>of or</w:t>
              <w:br/>
              <w:t>Advances/</w:t>
              <w:br/>
              <w:t>(Distributions)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Transfers In/(Out)</w:t>
              <w:br/>
              <w:t> of Affiliated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5" w:type="dxa"/>
            <w:gridSpan w:val="2"/>
            <w:tcBorders>
              <w:bottom w:val="single" w:sz="12" w:space="0" w:color="000000"/>
            </w:tcBorders>
            <w:vAlign w:val="center"/>
          </w:tcPr>
          <w:p>
            <w:pPr>
              <w:pStyle w:val="TableContents"/>
              <w:bidi w:val="0"/>
              <w:spacing w:before="0" w:after="283"/>
              <w:jc w:val="center"/>
              <w:rPr>
                <w:b/>
              </w:rPr>
            </w:pPr>
            <w:r>
              <w:rPr>
                <w:b/>
              </w:rPr>
              <w:t>Unrealized Gain/(Loss)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 xml:space="preserve">Realized </w:t>
              <w:br/>
              <w:t>Gain/(Loss)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 xml:space="preserve">Fair Value at </w:t>
              <w:br/>
              <w:t>June 30,</w:t>
              <w:b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 xml:space="preserve">Earned </w:t>
              <w:br/>
              <w:t>Income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Fee/Other Income</w:t>
            </w:r>
          </w:p>
        </w:tc>
        <w:tc>
          <w:tcPr>
            <w:tcW w:w="135" w:type="dxa"/>
            <w:tcBorders/>
            <w:tcMar>
              <w:bottom w:w="0" w:type="dxa"/>
            </w:tcMar>
            <w:vAlign w:val="center"/>
          </w:tcPr>
          <w:p>
            <w:pPr>
              <w:pStyle w:val="TableContents"/>
              <w:bidi w:val="0"/>
              <w:spacing w:before="0" w:after="283"/>
              <w:jc w:val="left"/>
              <w:rPr/>
            </w:pPr>
            <w:r>
              <w:rPr/>
              <w:t> </w:t>
            </w:r>
          </w:p>
        </w:tc>
      </w:tr>
      <w:tr>
        <w:trPr/>
        <w:tc>
          <w:tcPr>
            <w:tcW w:w="2545" w:type="dxa"/>
            <w:gridSpan w:val="3"/>
            <w:tcBorders/>
            <w:tcMar>
              <w:bottom w:w="0" w:type="dxa"/>
            </w:tcMar>
            <w:vAlign w:val="center"/>
          </w:tcPr>
          <w:p>
            <w:pPr>
              <w:pStyle w:val="TableContents"/>
              <w:bidi w:val="0"/>
              <w:spacing w:before="0" w:after="283"/>
              <w:jc w:val="left"/>
              <w:rPr>
                <w:b/>
              </w:rPr>
            </w:pPr>
            <w:r>
              <w:rPr>
                <w:b/>
              </w:rPr>
              <w:t>Affiliated Investments</w:t>
            </w:r>
          </w:p>
        </w:tc>
        <w:tc>
          <w:tcPr>
            <w:tcW w:w="90" w:type="dxa"/>
            <w:tcBorders/>
            <w:tcMar>
              <w:bottom w:w="0" w:type="dxa"/>
            </w:tcMar>
            <w:vAlign w:val="center"/>
          </w:tcPr>
          <w:p>
            <w:pPr>
              <w:pStyle w:val="TableContents"/>
              <w:bidi w:val="0"/>
              <w:spacing w:before="0" w:after="283"/>
              <w:jc w:val="left"/>
              <w:rPr/>
            </w:pPr>
            <w:r>
              <w:rPr/>
              <w:t> </w:t>
            </w:r>
          </w:p>
        </w:tc>
        <w:tc>
          <w:tcPr>
            <w:tcW w:w="150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5"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pPr>
            <w:r>
              <w:rPr/>
              <w:t>Advocates for Disabled Vets, LLC (dba Reps for Vets)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w:t>
            </w:r>
          </w:p>
        </w:tc>
        <w:tc>
          <w:tcPr>
            <w:tcW w:w="1309" w:type="dxa"/>
            <w:tcBorders/>
            <w:shd w:fill="CCEEFF" w:val="clear"/>
            <w:tcMar>
              <w:bottom w:w="0" w:type="dxa"/>
            </w:tcMar>
            <w:vAlign w:val="center"/>
          </w:tcPr>
          <w:p>
            <w:pPr>
              <w:pStyle w:val="TableContents"/>
              <w:bidi w:val="0"/>
              <w:spacing w:before="0" w:after="283"/>
              <w:jc w:val="right"/>
              <w:rPr/>
            </w:pPr>
            <w:r>
              <w:rPr/>
              <w:t>8,798,513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1237" w:type="dxa"/>
            <w:tcBorders/>
            <w:shd w:fill="CCEEFF" w:val="clear"/>
            <w:tcMar>
              <w:bottom w:w="0" w:type="dxa"/>
            </w:tcMar>
            <w:vAlign w:val="center"/>
          </w:tcPr>
          <w:p>
            <w:pPr>
              <w:pStyle w:val="TableContents"/>
              <w:bidi w:val="0"/>
              <w:spacing w:before="0" w:after="283"/>
              <w:jc w:val="right"/>
              <w:rPr/>
            </w:pPr>
            <w:r>
              <w:rPr/>
              <w:t>38,896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w:t>
            </w:r>
          </w:p>
        </w:tc>
        <w:tc>
          <w:tcPr>
            <w:tcW w:w="812" w:type="dxa"/>
            <w:tcBorders/>
            <w:shd w:fill="CCEEFF" w:val="clear"/>
            <w:tcMar>
              <w:bottom w:w="0" w:type="dxa"/>
            </w:tcMar>
            <w:vAlign w:val="center"/>
          </w:tcPr>
          <w:p>
            <w:pPr>
              <w:pStyle w:val="TableContents"/>
              <w:bidi w:val="0"/>
              <w:spacing w:before="0" w:after="0"/>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(593,472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w:t>
            </w:r>
          </w:p>
        </w:tc>
        <w:tc>
          <w:tcPr>
            <w:tcW w:w="715" w:type="dxa"/>
            <w:tcBorders/>
            <w:shd w:fill="CCEEFF" w:val="clear"/>
            <w:tcMar>
              <w:bottom w:w="0" w:type="dxa"/>
            </w:tcMar>
            <w:vAlign w:val="center"/>
          </w:tcPr>
          <w:p>
            <w:pPr>
              <w:pStyle w:val="TableContents"/>
              <w:bidi w:val="0"/>
              <w:spacing w:before="0" w:after="283"/>
              <w:jc w:val="right"/>
              <w:rPr/>
            </w:pPr>
            <w:r>
              <w:rPr/>
              <w:t>1,696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8,245,633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857,174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1" w:type="dxa"/>
            <w:tcBorders/>
            <w:shd w:fill="CCEEFF" w:val="clear"/>
            <w:tcMar>
              <w:bottom w:w="0" w:type="dxa"/>
            </w:tcMar>
            <w:vAlign w:val="center"/>
          </w:tcPr>
          <w:p>
            <w:pPr>
              <w:pStyle w:val="TableContents"/>
              <w:bidi w:val="0"/>
              <w:spacing w:before="0" w:after="283"/>
              <w:jc w:val="left"/>
              <w:rPr/>
            </w:pPr>
            <w:r>
              <w:rPr/>
              <w:t>$</w:t>
            </w:r>
          </w:p>
        </w:tc>
        <w:tc>
          <w:tcPr>
            <w:tcW w:w="339"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Equity</w:t>
            </w:r>
          </w:p>
        </w:tc>
        <w:tc>
          <w:tcPr>
            <w:tcW w:w="90" w:type="dxa"/>
            <w:tcBorders/>
            <w:tcMar>
              <w:bottom w:w="0" w:type="dxa"/>
            </w:tcMar>
            <w:vAlign w:val="center"/>
          </w:tcPr>
          <w:p>
            <w:pPr>
              <w:pStyle w:val="TableContents"/>
              <w:bidi w:val="0"/>
              <w:spacing w:before="0" w:after="283"/>
              <w:jc w:val="left"/>
              <w:rPr/>
            </w:pPr>
            <w:r>
              <w:rPr/>
              <w:t> </w:t>
            </w:r>
          </w:p>
        </w:tc>
        <w:tc>
          <w:tcPr>
            <w:tcW w:w="196" w:type="dxa"/>
            <w:tcBorders/>
            <w:tcMar>
              <w:bottom w:w="0" w:type="dxa"/>
            </w:tcMar>
            <w:vAlign w:val="center"/>
          </w:tcPr>
          <w:p>
            <w:pPr>
              <w:pStyle w:val="TableContents"/>
              <w:bidi w:val="0"/>
              <w:spacing w:before="0" w:after="283"/>
              <w:jc w:val="left"/>
              <w:rPr/>
            </w:pPr>
            <w:r>
              <w:rPr/>
              <w:t> </w:t>
            </w:r>
          </w:p>
        </w:tc>
        <w:tc>
          <w:tcPr>
            <w:tcW w:w="1309" w:type="dxa"/>
            <w:tcBorders/>
            <w:tcMar>
              <w:bottom w:w="0" w:type="dxa"/>
            </w:tcMar>
            <w:vAlign w:val="center"/>
          </w:tcPr>
          <w:p>
            <w:pPr>
              <w:pStyle w:val="TableContents"/>
              <w:bidi w:val="0"/>
              <w:spacing w:before="0" w:after="283"/>
              <w:jc w:val="right"/>
              <w:rPr/>
            </w:pPr>
            <w:r>
              <w:rPr/>
              <w:t>3,359,511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8" w:type="dxa"/>
            <w:tcBorders/>
            <w:tcMar>
              <w:bottom w:w="0" w:type="dxa"/>
            </w:tcMar>
            <w:vAlign w:val="center"/>
          </w:tcPr>
          <w:p>
            <w:pPr>
              <w:pStyle w:val="TableContents"/>
              <w:bidi w:val="0"/>
              <w:spacing w:before="0" w:after="283"/>
              <w:jc w:val="left"/>
              <w:rPr/>
            </w:pPr>
            <w:r>
              <w:rPr/>
              <w:t> </w:t>
            </w:r>
          </w:p>
        </w:tc>
        <w:tc>
          <w:tcPr>
            <w:tcW w:w="1237"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8" w:type="dxa"/>
            <w:tcBorders/>
            <w:tcMar>
              <w:bottom w:w="0" w:type="dxa"/>
            </w:tcMar>
            <w:vAlign w:val="center"/>
          </w:tcPr>
          <w:p>
            <w:pPr>
              <w:pStyle w:val="TableContents"/>
              <w:bidi w:val="0"/>
              <w:spacing w:before="0" w:after="283"/>
              <w:jc w:val="left"/>
              <w:rPr/>
            </w:pPr>
            <w:r>
              <w:rPr/>
              <w:t> </w:t>
            </w:r>
          </w:p>
        </w:tc>
        <w:tc>
          <w:tcPr>
            <w:tcW w:w="812"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pPr>
            <w:r>
              <w:rPr/>
              <w:t>(960,622</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715"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2,398,889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1" w:type="dxa"/>
            <w:tcBorders/>
            <w:tcMar>
              <w:bottom w:w="0" w:type="dxa"/>
            </w:tcMar>
            <w:vAlign w:val="center"/>
          </w:tcPr>
          <w:p>
            <w:pPr>
              <w:pStyle w:val="TableContents"/>
              <w:bidi w:val="0"/>
              <w:spacing w:before="0" w:after="283"/>
              <w:jc w:val="left"/>
              <w:rPr/>
            </w:pPr>
            <w:r>
              <w:rPr/>
              <w:t> </w:t>
            </w:r>
          </w:p>
        </w:tc>
        <w:tc>
          <w:tcPr>
            <w:tcW w:w="339" w:type="dxa"/>
            <w:tcBorders/>
            <w:tcMar>
              <w:bottom w:w="0" w:type="dxa"/>
            </w:tcMar>
            <w:vAlign w:val="center"/>
          </w:tcPr>
          <w:p>
            <w:pPr>
              <w:pStyle w:val="TableContents"/>
              <w:bidi w:val="0"/>
              <w:spacing w:before="0" w:after="0"/>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Delayed Draw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237" w:type="dxa"/>
            <w:tcBorders/>
            <w:shd w:fill="CCEEFF" w:val="clear"/>
            <w:tcMar>
              <w:bottom w:w="0" w:type="dxa"/>
            </w:tcMar>
            <w:vAlign w:val="center"/>
          </w:tcPr>
          <w:p>
            <w:pPr>
              <w:pStyle w:val="TableContents"/>
              <w:bidi w:val="0"/>
              <w:spacing w:before="0" w:after="283"/>
              <w:jc w:val="right"/>
              <w:rPr/>
            </w:pPr>
            <w:r>
              <w:rPr/>
              <w:t>225,132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pPr>
            <w:r>
              <w:rPr/>
              <w:t>(3,507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715"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221,625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5,437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1" w:type="dxa"/>
            <w:tcBorders/>
            <w:shd w:fill="CCEEFF" w:val="clear"/>
            <w:tcMar>
              <w:bottom w:w="0" w:type="dxa"/>
            </w:tcMar>
            <w:vAlign w:val="center"/>
          </w:tcPr>
          <w:p>
            <w:pPr>
              <w:pStyle w:val="TableContents"/>
              <w:bidi w:val="0"/>
              <w:spacing w:before="0" w:after="283"/>
              <w:jc w:val="left"/>
              <w:rPr/>
            </w:pPr>
            <w:r>
              <w:rPr/>
              <w:t> </w:t>
            </w:r>
          </w:p>
        </w:tc>
        <w:tc>
          <w:tcPr>
            <w:tcW w:w="339"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Preferred Equity</w:t>
            </w:r>
          </w:p>
        </w:tc>
        <w:tc>
          <w:tcPr>
            <w:tcW w:w="90" w:type="dxa"/>
            <w:tcBorders/>
            <w:tcMar>
              <w:bottom w:w="0" w:type="dxa"/>
            </w:tcMar>
            <w:vAlign w:val="center"/>
          </w:tcPr>
          <w:p>
            <w:pPr>
              <w:pStyle w:val="TableContents"/>
              <w:bidi w:val="0"/>
              <w:spacing w:before="0" w:after="283"/>
              <w:jc w:val="left"/>
              <w:rPr/>
            </w:pPr>
            <w:r>
              <w:rPr/>
              <w:t> </w:t>
            </w:r>
          </w:p>
        </w:tc>
        <w:tc>
          <w:tcPr>
            <w:tcW w:w="196" w:type="dxa"/>
            <w:tcBorders/>
            <w:tcMar>
              <w:bottom w:w="0" w:type="dxa"/>
            </w:tcMar>
            <w:vAlign w:val="center"/>
          </w:tcPr>
          <w:p>
            <w:pPr>
              <w:pStyle w:val="TableContents"/>
              <w:bidi w:val="0"/>
              <w:spacing w:before="0" w:after="283"/>
              <w:jc w:val="left"/>
              <w:rPr/>
            </w:pPr>
            <w:r>
              <w:rPr/>
              <w:t> </w:t>
            </w:r>
          </w:p>
        </w:tc>
        <w:tc>
          <w:tcPr>
            <w:tcW w:w="1309"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8" w:type="dxa"/>
            <w:tcBorders/>
            <w:tcMar>
              <w:bottom w:w="0" w:type="dxa"/>
            </w:tcMar>
            <w:vAlign w:val="center"/>
          </w:tcPr>
          <w:p>
            <w:pPr>
              <w:pStyle w:val="TableContents"/>
              <w:bidi w:val="0"/>
              <w:spacing w:before="0" w:after="283"/>
              <w:jc w:val="left"/>
              <w:rPr/>
            </w:pPr>
            <w:r>
              <w:rPr/>
              <w:t> </w:t>
            </w:r>
          </w:p>
        </w:tc>
        <w:tc>
          <w:tcPr>
            <w:tcW w:w="1237" w:type="dxa"/>
            <w:tcBorders/>
            <w:tcMar>
              <w:bottom w:w="0" w:type="dxa"/>
            </w:tcMar>
            <w:vAlign w:val="center"/>
          </w:tcPr>
          <w:p>
            <w:pPr>
              <w:pStyle w:val="TableContents"/>
              <w:bidi w:val="0"/>
              <w:spacing w:before="0" w:after="283"/>
              <w:jc w:val="right"/>
              <w:rPr/>
            </w:pPr>
            <w:r>
              <w:rPr/>
              <w:t>99,396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8" w:type="dxa"/>
            <w:tcBorders/>
            <w:tcMar>
              <w:bottom w:w="0" w:type="dxa"/>
            </w:tcMar>
            <w:vAlign w:val="center"/>
          </w:tcPr>
          <w:p>
            <w:pPr>
              <w:pStyle w:val="TableContents"/>
              <w:bidi w:val="0"/>
              <w:spacing w:before="0" w:after="283"/>
              <w:jc w:val="left"/>
              <w:rPr/>
            </w:pPr>
            <w:r>
              <w:rPr/>
              <w:t> </w:t>
            </w:r>
          </w:p>
        </w:tc>
        <w:tc>
          <w:tcPr>
            <w:tcW w:w="812"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715"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99,396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1" w:type="dxa"/>
            <w:tcBorders/>
            <w:tcMar>
              <w:bottom w:w="0" w:type="dxa"/>
            </w:tcMar>
            <w:vAlign w:val="center"/>
          </w:tcPr>
          <w:p>
            <w:pPr>
              <w:pStyle w:val="TableContents"/>
              <w:bidi w:val="0"/>
              <w:spacing w:before="0" w:after="283"/>
              <w:jc w:val="left"/>
              <w:rPr/>
            </w:pPr>
            <w:r>
              <w:rPr/>
              <w:t> </w:t>
            </w:r>
          </w:p>
        </w:tc>
        <w:tc>
          <w:tcPr>
            <w:tcW w:w="339" w:type="dxa"/>
            <w:tcBorders/>
            <w:tcMar>
              <w:bottom w:w="0" w:type="dxa"/>
            </w:tcMar>
            <w:vAlign w:val="center"/>
          </w:tcPr>
          <w:p>
            <w:pPr>
              <w:pStyle w:val="TableContents"/>
              <w:bidi w:val="0"/>
              <w:spacing w:before="0" w:after="0"/>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23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715"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1" w:type="dxa"/>
            <w:tcBorders/>
            <w:shd w:fill="CCEEFF" w:val="clear"/>
            <w:tcMar>
              <w:bottom w:w="0" w:type="dxa"/>
            </w:tcMar>
            <w:vAlign w:val="center"/>
          </w:tcPr>
          <w:p>
            <w:pPr>
              <w:pStyle w:val="TableContents"/>
              <w:bidi w:val="0"/>
              <w:spacing w:before="0" w:after="283"/>
              <w:jc w:val="left"/>
              <w:rPr/>
            </w:pPr>
            <w:r>
              <w:rPr/>
              <w:t> </w:t>
            </w:r>
          </w:p>
        </w:tc>
        <w:tc>
          <w:tcPr>
            <w:tcW w:w="339"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80" w:type="dxa"/>
            <w:tcBorders/>
            <w:tcMar>
              <w:bottom w:w="0" w:type="dxa"/>
            </w:tcMar>
            <w:vAlign w:val="center"/>
          </w:tcPr>
          <w:p>
            <w:pPr>
              <w:pStyle w:val="TableContents"/>
              <w:bidi w:val="0"/>
              <w:spacing w:before="0" w:after="283"/>
              <w:jc w:val="left"/>
              <w:rPr/>
            </w:pPr>
            <w:r>
              <w:rPr/>
              <w:t>FST Holdings Parent, LLC</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Equity</w:t>
            </w:r>
          </w:p>
        </w:tc>
        <w:tc>
          <w:tcPr>
            <w:tcW w:w="90" w:type="dxa"/>
            <w:tcBorders/>
            <w:tcMar>
              <w:bottom w:w="0" w:type="dxa"/>
            </w:tcMar>
            <w:vAlign w:val="center"/>
          </w:tcPr>
          <w:p>
            <w:pPr>
              <w:pStyle w:val="TableContents"/>
              <w:bidi w:val="0"/>
              <w:spacing w:before="0" w:after="283"/>
              <w:jc w:val="left"/>
              <w:rPr/>
            </w:pPr>
            <w:r>
              <w:rPr/>
              <w:t> </w:t>
            </w:r>
          </w:p>
        </w:tc>
        <w:tc>
          <w:tcPr>
            <w:tcW w:w="196" w:type="dxa"/>
            <w:tcBorders/>
            <w:tcMar>
              <w:bottom w:w="0" w:type="dxa"/>
            </w:tcMar>
            <w:vAlign w:val="center"/>
          </w:tcPr>
          <w:p>
            <w:pPr>
              <w:pStyle w:val="TableContents"/>
              <w:bidi w:val="0"/>
              <w:spacing w:before="0" w:after="283"/>
              <w:jc w:val="left"/>
              <w:rPr/>
            </w:pPr>
            <w:r>
              <w:rPr/>
              <w:t> </w:t>
            </w:r>
          </w:p>
        </w:tc>
        <w:tc>
          <w:tcPr>
            <w:tcW w:w="1309" w:type="dxa"/>
            <w:tcBorders/>
            <w:tcMar>
              <w:bottom w:w="0" w:type="dxa"/>
            </w:tcMar>
            <w:vAlign w:val="center"/>
          </w:tcPr>
          <w:p>
            <w:pPr>
              <w:pStyle w:val="TableContents"/>
              <w:bidi w:val="0"/>
              <w:spacing w:before="0" w:after="283"/>
              <w:jc w:val="right"/>
              <w:rPr/>
            </w:pPr>
            <w:r>
              <w:rPr/>
              <w:t>10,960,741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8" w:type="dxa"/>
            <w:tcBorders/>
            <w:tcMar>
              <w:bottom w:w="0" w:type="dxa"/>
            </w:tcMar>
            <w:vAlign w:val="center"/>
          </w:tcPr>
          <w:p>
            <w:pPr>
              <w:pStyle w:val="TableContents"/>
              <w:bidi w:val="0"/>
              <w:spacing w:before="0" w:after="283"/>
              <w:jc w:val="left"/>
              <w:rPr/>
            </w:pPr>
            <w:r>
              <w:rPr/>
              <w:t> </w:t>
            </w:r>
          </w:p>
        </w:tc>
        <w:tc>
          <w:tcPr>
            <w:tcW w:w="1237"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8" w:type="dxa"/>
            <w:tcBorders/>
            <w:tcMar>
              <w:bottom w:w="0" w:type="dxa"/>
            </w:tcMar>
            <w:vAlign w:val="center"/>
          </w:tcPr>
          <w:p>
            <w:pPr>
              <w:pStyle w:val="TableContents"/>
              <w:bidi w:val="0"/>
              <w:spacing w:before="0" w:after="283"/>
              <w:jc w:val="left"/>
              <w:rPr/>
            </w:pPr>
            <w:r>
              <w:rPr/>
              <w:t> </w:t>
            </w:r>
          </w:p>
        </w:tc>
        <w:tc>
          <w:tcPr>
            <w:tcW w:w="812"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pPr>
            <w:r>
              <w:rPr/>
              <w:t>1,995,867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715"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12,956,608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268,540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1" w:type="dxa"/>
            <w:tcBorders/>
            <w:tcMar>
              <w:bottom w:w="0" w:type="dxa"/>
            </w:tcMar>
            <w:vAlign w:val="center"/>
          </w:tcPr>
          <w:p>
            <w:pPr>
              <w:pStyle w:val="TableContents"/>
              <w:bidi w:val="0"/>
              <w:spacing w:before="0" w:after="283"/>
              <w:jc w:val="left"/>
              <w:rPr/>
            </w:pPr>
            <w:r>
              <w:rPr/>
              <w:t> </w:t>
            </w:r>
          </w:p>
        </w:tc>
        <w:tc>
          <w:tcPr>
            <w:tcW w:w="339" w:type="dxa"/>
            <w:tcBorders/>
            <w:tcMar>
              <w:bottom w:w="0" w:type="dxa"/>
            </w:tcMar>
            <w:vAlign w:val="center"/>
          </w:tcPr>
          <w:p>
            <w:pPr>
              <w:pStyle w:val="TableContents"/>
              <w:bidi w:val="0"/>
              <w:spacing w:before="0" w:after="0"/>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pPr>
            <w:r>
              <w:rPr/>
              <w:t>MB Precision Investment Holdings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6,398,561</w:t>
            </w:r>
          </w:p>
        </w:tc>
        <w:tc>
          <w:tcPr>
            <w:tcW w:w="9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08" w:type="dxa"/>
            <w:tcBorders/>
            <w:shd w:fill="CCEEFF" w:val="clear"/>
            <w:tcMar>
              <w:bottom w:w="0" w:type="dxa"/>
            </w:tcMar>
            <w:vAlign w:val="center"/>
          </w:tcPr>
          <w:p>
            <w:pPr>
              <w:pStyle w:val="TableContents"/>
              <w:bidi w:val="0"/>
              <w:spacing w:before="0" w:after="283"/>
              <w:jc w:val="right"/>
              <w:rPr/>
            </w:pPr>
            <w:r>
              <w:rPr/>
              <w:t> </w:t>
            </w:r>
          </w:p>
        </w:tc>
        <w:tc>
          <w:tcPr>
            <w:tcW w:w="1237" w:type="dxa"/>
            <w:tcBorders/>
            <w:shd w:fill="CCEEFF" w:val="clear"/>
            <w:tcMar>
              <w:bottom w:w="0" w:type="dxa"/>
            </w:tcMar>
            <w:vAlign w:val="center"/>
          </w:tcPr>
          <w:p>
            <w:pPr>
              <w:pStyle w:val="TableContents"/>
              <w:bidi w:val="0"/>
              <w:spacing w:before="0" w:after="283"/>
              <w:jc w:val="right"/>
              <w:rPr/>
            </w:pPr>
            <w:r>
              <w:rPr/>
              <w:t>(24,450</w:t>
            </w:r>
          </w:p>
        </w:tc>
        <w:tc>
          <w:tcPr>
            <w:tcW w:w="12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28" w:type="dxa"/>
            <w:tcBorders/>
            <w:shd w:fill="CCEEFF" w:val="clear"/>
            <w:tcMar>
              <w:bottom w:w="0" w:type="dxa"/>
            </w:tcMar>
            <w:vAlign w:val="center"/>
          </w:tcPr>
          <w:p>
            <w:pPr>
              <w:pStyle w:val="TableContents"/>
              <w:bidi w:val="0"/>
              <w:spacing w:before="0" w:after="283"/>
              <w:jc w:val="right"/>
              <w:rPr/>
            </w:pPr>
            <w:r>
              <w:rPr/>
              <w:t> </w:t>
            </w:r>
          </w:p>
        </w:tc>
        <w:tc>
          <w:tcPr>
            <w:tcW w:w="812"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right"/>
              <w:rPr/>
            </w:pPr>
            <w:r>
              <w:rPr/>
              <w:t> </w:t>
            </w:r>
          </w:p>
        </w:tc>
        <w:tc>
          <w:tcPr>
            <w:tcW w:w="1085" w:type="dxa"/>
            <w:tcBorders/>
            <w:shd w:fill="CCEEFF" w:val="clear"/>
            <w:tcMar>
              <w:bottom w:w="0" w:type="dxa"/>
            </w:tcMar>
            <w:vAlign w:val="center"/>
          </w:tcPr>
          <w:p>
            <w:pPr>
              <w:pStyle w:val="TableContents"/>
              <w:bidi w:val="0"/>
              <w:spacing w:before="0" w:after="283"/>
              <w:jc w:val="right"/>
              <w:rPr/>
            </w:pPr>
            <w:r>
              <w:rPr/>
              <w:t>(251,879</w:t>
            </w:r>
          </w:p>
        </w:tc>
        <w:tc>
          <w:tcPr>
            <w:tcW w:w="12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05" w:type="dxa"/>
            <w:tcBorders/>
            <w:shd w:fill="CCEEFF" w:val="clear"/>
            <w:tcMar>
              <w:bottom w:w="0" w:type="dxa"/>
            </w:tcMar>
            <w:vAlign w:val="center"/>
          </w:tcPr>
          <w:p>
            <w:pPr>
              <w:pStyle w:val="TableContents"/>
              <w:bidi w:val="0"/>
              <w:spacing w:before="0" w:after="283"/>
              <w:jc w:val="right"/>
              <w:rPr/>
            </w:pPr>
            <w:r>
              <w:rPr/>
              <w:t> </w:t>
            </w:r>
          </w:p>
        </w:tc>
        <w:tc>
          <w:tcPr>
            <w:tcW w:w="715" w:type="dxa"/>
            <w:tcBorders/>
            <w:shd w:fill="CCEEFF" w:val="clear"/>
            <w:tcMar>
              <w:bottom w:w="0" w:type="dxa"/>
            </w:tcMar>
            <w:vAlign w:val="center"/>
          </w:tcPr>
          <w:p>
            <w:pPr>
              <w:pStyle w:val="TableContents"/>
              <w:bidi w:val="0"/>
              <w:spacing w:before="0" w:after="283"/>
              <w:jc w:val="right"/>
              <w:rPr/>
            </w:pPr>
            <w:r>
              <w:rPr/>
              <w:t>1,466</w:t>
            </w:r>
          </w:p>
        </w:tc>
        <w:tc>
          <w:tcPr>
            <w:tcW w:w="9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right"/>
              <w:rPr/>
            </w:pPr>
            <w:r>
              <w:rPr/>
              <w:t> </w:t>
            </w:r>
          </w:p>
        </w:tc>
        <w:tc>
          <w:tcPr>
            <w:tcW w:w="1130" w:type="dxa"/>
            <w:tcBorders/>
            <w:shd w:fill="CCEEFF" w:val="clear"/>
            <w:tcMar>
              <w:bottom w:w="0" w:type="dxa"/>
            </w:tcMar>
            <w:vAlign w:val="center"/>
          </w:tcPr>
          <w:p>
            <w:pPr>
              <w:pStyle w:val="TableContents"/>
              <w:bidi w:val="0"/>
              <w:spacing w:before="0" w:after="283"/>
              <w:jc w:val="right"/>
              <w:rPr/>
            </w:pPr>
            <w:r>
              <w:rPr/>
              <w:t>6,123,698</w:t>
            </w:r>
          </w:p>
        </w:tc>
        <w:tc>
          <w:tcPr>
            <w:tcW w:w="9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right"/>
              <w:rPr/>
            </w:pPr>
            <w:r>
              <w:rPr/>
              <w:t> </w:t>
            </w:r>
          </w:p>
        </w:tc>
        <w:tc>
          <w:tcPr>
            <w:tcW w:w="1010" w:type="dxa"/>
            <w:tcBorders/>
            <w:shd w:fill="CCEEFF" w:val="clear"/>
            <w:tcMar>
              <w:bottom w:w="0" w:type="dxa"/>
            </w:tcMar>
            <w:vAlign w:val="center"/>
          </w:tcPr>
          <w:p>
            <w:pPr>
              <w:pStyle w:val="TableContents"/>
              <w:bidi w:val="0"/>
              <w:spacing w:before="0" w:after="283"/>
              <w:jc w:val="right"/>
              <w:rPr/>
            </w:pPr>
            <w:r>
              <w:rPr/>
              <w:t>660,589</w:t>
            </w:r>
          </w:p>
        </w:tc>
        <w:tc>
          <w:tcPr>
            <w:tcW w:w="9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461" w:type="dxa"/>
            <w:tcBorders/>
            <w:shd w:fill="CCEEFF" w:val="clear"/>
            <w:tcMar>
              <w:bottom w:w="0" w:type="dxa"/>
            </w:tcMar>
            <w:vAlign w:val="center"/>
          </w:tcPr>
          <w:p>
            <w:pPr>
              <w:pStyle w:val="TableContents"/>
              <w:bidi w:val="0"/>
              <w:spacing w:before="0" w:after="283"/>
              <w:jc w:val="right"/>
              <w:rPr/>
            </w:pPr>
            <w:r>
              <w:rPr/>
              <w:t> </w:t>
            </w:r>
          </w:p>
        </w:tc>
        <w:tc>
          <w:tcPr>
            <w:tcW w:w="339"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Senior Secured Delayed Draw Term Loan</w:t>
            </w:r>
          </w:p>
        </w:tc>
        <w:tc>
          <w:tcPr>
            <w:tcW w:w="90" w:type="dxa"/>
            <w:tcBorders/>
            <w:tcMar>
              <w:bottom w:w="0" w:type="dxa"/>
            </w:tcMar>
            <w:vAlign w:val="center"/>
          </w:tcPr>
          <w:p>
            <w:pPr>
              <w:pStyle w:val="TableContents"/>
              <w:bidi w:val="0"/>
              <w:spacing w:before="0" w:after="283"/>
              <w:jc w:val="left"/>
              <w:rPr/>
            </w:pPr>
            <w:r>
              <w:rPr/>
              <w:t> </w:t>
            </w:r>
          </w:p>
        </w:tc>
        <w:tc>
          <w:tcPr>
            <w:tcW w:w="196" w:type="dxa"/>
            <w:tcBorders/>
            <w:tcMar>
              <w:bottom w:w="0" w:type="dxa"/>
            </w:tcMar>
            <w:vAlign w:val="center"/>
          </w:tcPr>
          <w:p>
            <w:pPr>
              <w:pStyle w:val="TableContents"/>
              <w:bidi w:val="0"/>
              <w:spacing w:before="0" w:after="283"/>
              <w:jc w:val="left"/>
              <w:rPr/>
            </w:pPr>
            <w:r>
              <w:rPr/>
              <w:t> </w:t>
            </w:r>
          </w:p>
        </w:tc>
        <w:tc>
          <w:tcPr>
            <w:tcW w:w="1309" w:type="dxa"/>
            <w:tcBorders/>
            <w:tcMar>
              <w:bottom w:w="0" w:type="dxa"/>
            </w:tcMar>
            <w:vAlign w:val="center"/>
          </w:tcPr>
          <w:p>
            <w:pPr>
              <w:pStyle w:val="TableContents"/>
              <w:bidi w:val="0"/>
              <w:spacing w:before="0" w:after="283"/>
              <w:jc w:val="right"/>
              <w:rPr/>
            </w:pPr>
            <w:r>
              <w:rPr/>
              <w:t>490,306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8" w:type="dxa"/>
            <w:tcBorders/>
            <w:tcMar>
              <w:bottom w:w="0" w:type="dxa"/>
            </w:tcMar>
            <w:vAlign w:val="center"/>
          </w:tcPr>
          <w:p>
            <w:pPr>
              <w:pStyle w:val="TableContents"/>
              <w:bidi w:val="0"/>
              <w:spacing w:before="0" w:after="283"/>
              <w:jc w:val="left"/>
              <w:rPr/>
            </w:pPr>
            <w:r>
              <w:rPr/>
              <w:t> </w:t>
            </w:r>
          </w:p>
        </w:tc>
        <w:tc>
          <w:tcPr>
            <w:tcW w:w="1237" w:type="dxa"/>
            <w:tcBorders/>
            <w:tcMar>
              <w:bottom w:w="0" w:type="dxa"/>
            </w:tcMar>
            <w:vAlign w:val="center"/>
          </w:tcPr>
          <w:p>
            <w:pPr>
              <w:pStyle w:val="TableContents"/>
              <w:bidi w:val="0"/>
              <w:spacing w:before="0" w:after="283"/>
              <w:jc w:val="right"/>
              <w:rPr/>
            </w:pPr>
            <w:r>
              <w:rPr/>
              <w:t>2,310,678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8" w:type="dxa"/>
            <w:tcBorders/>
            <w:tcMar>
              <w:bottom w:w="0" w:type="dxa"/>
            </w:tcMar>
            <w:vAlign w:val="center"/>
          </w:tcPr>
          <w:p>
            <w:pPr>
              <w:pStyle w:val="TableContents"/>
              <w:bidi w:val="0"/>
              <w:spacing w:before="0" w:after="283"/>
              <w:jc w:val="left"/>
              <w:rPr/>
            </w:pPr>
            <w:r>
              <w:rPr/>
              <w:t> </w:t>
            </w:r>
          </w:p>
        </w:tc>
        <w:tc>
          <w:tcPr>
            <w:tcW w:w="812"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pPr>
            <w:r>
              <w:rPr/>
              <w:t>(159,866</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715"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2,641,118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204,934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1" w:type="dxa"/>
            <w:tcBorders/>
            <w:tcMar>
              <w:bottom w:w="0" w:type="dxa"/>
            </w:tcMar>
            <w:vAlign w:val="center"/>
          </w:tcPr>
          <w:p>
            <w:pPr>
              <w:pStyle w:val="TableContents"/>
              <w:bidi w:val="0"/>
              <w:spacing w:before="0" w:after="283"/>
              <w:jc w:val="left"/>
              <w:rPr/>
            </w:pPr>
            <w:r>
              <w:rPr/>
              <w:t> </w:t>
            </w:r>
          </w:p>
        </w:tc>
        <w:tc>
          <w:tcPr>
            <w:tcW w:w="339" w:type="dxa"/>
            <w:tcBorders/>
            <w:tcMar>
              <w:bottom w:w="0" w:type="dxa"/>
            </w:tcMar>
            <w:vAlign w:val="center"/>
          </w:tcPr>
          <w:p>
            <w:pPr>
              <w:pStyle w:val="TableContents"/>
              <w:bidi w:val="0"/>
              <w:spacing w:before="0" w:after="0"/>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Revolver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1,975,347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237" w:type="dxa"/>
            <w:tcBorders/>
            <w:shd w:fill="CCEEFF" w:val="clear"/>
            <w:tcMar>
              <w:bottom w:w="0" w:type="dxa"/>
            </w:tcMar>
            <w:vAlign w:val="center"/>
          </w:tcPr>
          <w:p>
            <w:pPr>
              <w:pStyle w:val="TableContents"/>
              <w:bidi w:val="0"/>
              <w:spacing w:before="0" w:after="283"/>
              <w:jc w:val="right"/>
              <w:rPr/>
            </w:pPr>
            <w:r>
              <w:rPr/>
              <w:t>102,775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pPr>
            <w:r>
              <w:rPr/>
              <w:t>(89,993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715"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1,988,129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264,874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1" w:type="dxa"/>
            <w:tcBorders/>
            <w:shd w:fill="CCEEFF" w:val="clear"/>
            <w:tcMar>
              <w:bottom w:w="0" w:type="dxa"/>
            </w:tcMar>
            <w:vAlign w:val="center"/>
          </w:tcPr>
          <w:p>
            <w:pPr>
              <w:pStyle w:val="TableContents"/>
              <w:bidi w:val="0"/>
              <w:spacing w:before="0" w:after="283"/>
              <w:jc w:val="left"/>
              <w:rPr/>
            </w:pPr>
            <w:r>
              <w:rPr/>
              <w:t> </w:t>
            </w:r>
          </w:p>
        </w:tc>
        <w:tc>
          <w:tcPr>
            <w:tcW w:w="339"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Preferred Equity</w:t>
            </w:r>
          </w:p>
        </w:tc>
        <w:tc>
          <w:tcPr>
            <w:tcW w:w="90" w:type="dxa"/>
            <w:tcBorders/>
            <w:tcMar>
              <w:bottom w:w="0" w:type="dxa"/>
            </w:tcMar>
            <w:vAlign w:val="center"/>
          </w:tcPr>
          <w:p>
            <w:pPr>
              <w:pStyle w:val="TableContents"/>
              <w:bidi w:val="0"/>
              <w:spacing w:before="0" w:after="283"/>
              <w:jc w:val="left"/>
              <w:rPr/>
            </w:pPr>
            <w:r>
              <w:rPr/>
              <w:t> </w:t>
            </w:r>
          </w:p>
        </w:tc>
        <w:tc>
          <w:tcPr>
            <w:tcW w:w="196" w:type="dxa"/>
            <w:tcBorders/>
            <w:tcMar>
              <w:bottom w:w="0" w:type="dxa"/>
            </w:tcMar>
            <w:vAlign w:val="center"/>
          </w:tcPr>
          <w:p>
            <w:pPr>
              <w:pStyle w:val="TableContents"/>
              <w:bidi w:val="0"/>
              <w:spacing w:before="0" w:after="283"/>
              <w:jc w:val="left"/>
              <w:rPr/>
            </w:pPr>
            <w:r>
              <w:rPr/>
              <w:t> </w:t>
            </w:r>
          </w:p>
        </w:tc>
        <w:tc>
          <w:tcPr>
            <w:tcW w:w="1309" w:type="dxa"/>
            <w:tcBorders/>
            <w:tcMar>
              <w:bottom w:w="0" w:type="dxa"/>
            </w:tcMar>
            <w:vAlign w:val="center"/>
          </w:tcPr>
          <w:p>
            <w:pPr>
              <w:pStyle w:val="TableContents"/>
              <w:bidi w:val="0"/>
              <w:spacing w:before="0" w:after="283"/>
              <w:jc w:val="right"/>
              <w:rPr/>
            </w:pPr>
            <w:r>
              <w:rPr/>
              <w:t>2,725,408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8" w:type="dxa"/>
            <w:tcBorders/>
            <w:tcMar>
              <w:bottom w:w="0" w:type="dxa"/>
            </w:tcMar>
            <w:vAlign w:val="center"/>
          </w:tcPr>
          <w:p>
            <w:pPr>
              <w:pStyle w:val="TableContents"/>
              <w:bidi w:val="0"/>
              <w:spacing w:before="0" w:after="283"/>
              <w:jc w:val="left"/>
              <w:rPr/>
            </w:pPr>
            <w:r>
              <w:rPr/>
              <w:t> </w:t>
            </w:r>
          </w:p>
        </w:tc>
        <w:tc>
          <w:tcPr>
            <w:tcW w:w="1237" w:type="dxa"/>
            <w:tcBorders/>
            <w:tcMar>
              <w:bottom w:w="0" w:type="dxa"/>
            </w:tcMar>
            <w:vAlign w:val="center"/>
          </w:tcPr>
          <w:p>
            <w:pPr>
              <w:pStyle w:val="TableContents"/>
              <w:bidi w:val="0"/>
              <w:spacing w:before="0" w:after="283"/>
              <w:jc w:val="right"/>
              <w:rPr/>
            </w:pPr>
            <w:r>
              <w:rPr/>
              <w:t>656,543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8" w:type="dxa"/>
            <w:tcBorders/>
            <w:tcMar>
              <w:bottom w:w="0" w:type="dxa"/>
            </w:tcMar>
            <w:vAlign w:val="center"/>
          </w:tcPr>
          <w:p>
            <w:pPr>
              <w:pStyle w:val="TableContents"/>
              <w:bidi w:val="0"/>
              <w:spacing w:before="0" w:after="283"/>
              <w:jc w:val="left"/>
              <w:rPr/>
            </w:pPr>
            <w:r>
              <w:rPr/>
              <w:t> </w:t>
            </w:r>
          </w:p>
        </w:tc>
        <w:tc>
          <w:tcPr>
            <w:tcW w:w="812"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pPr>
            <w:r>
              <w:rPr/>
              <w:t>(1,374,470</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715"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2,007,481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656,543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1" w:type="dxa"/>
            <w:tcBorders/>
            <w:tcMar>
              <w:bottom w:w="0" w:type="dxa"/>
            </w:tcMar>
            <w:vAlign w:val="center"/>
          </w:tcPr>
          <w:p>
            <w:pPr>
              <w:pStyle w:val="TableContents"/>
              <w:bidi w:val="0"/>
              <w:spacing w:before="0" w:after="283"/>
              <w:jc w:val="left"/>
              <w:rPr/>
            </w:pPr>
            <w:r>
              <w:rPr/>
              <w:t> </w:t>
            </w:r>
          </w:p>
        </w:tc>
        <w:tc>
          <w:tcPr>
            <w:tcW w:w="339" w:type="dxa"/>
            <w:tcBorders/>
            <w:tcMar>
              <w:bottom w:w="0" w:type="dxa"/>
            </w:tcMar>
            <w:vAlign w:val="center"/>
          </w:tcPr>
          <w:p>
            <w:pPr>
              <w:pStyle w:val="TableContents"/>
              <w:bidi w:val="0"/>
              <w:spacing w:before="0" w:after="0"/>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Warrants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bottom w:val="single" w:sz="12" w:space="0" w:color="000000"/>
            </w:tcBorders>
            <w:shd w:fill="CCEEFF" w:val="clear"/>
            <w:vAlign w:val="center"/>
          </w:tcPr>
          <w:p>
            <w:pPr>
              <w:pStyle w:val="TableContents"/>
              <w:bidi w:val="0"/>
              <w:spacing w:before="0" w:after="283"/>
              <w:jc w:val="left"/>
              <w:rPr/>
            </w:pPr>
            <w:r>
              <w:rPr/>
              <w:t> </w:t>
            </w:r>
          </w:p>
        </w:tc>
        <w:tc>
          <w:tcPr>
            <w:tcW w:w="1309" w:type="dxa"/>
            <w:tcBorders>
              <w:bottom w:val="single" w:sz="12" w:space="0" w:color="000000"/>
            </w:tcBorders>
            <w:shd w:fill="CCEEFF" w:val="clear"/>
            <w:vAlign w:val="center"/>
          </w:tcPr>
          <w:p>
            <w:pPr>
              <w:pStyle w:val="TableContents"/>
              <w:bidi w:val="0"/>
              <w:spacing w:before="0" w:after="283"/>
              <w:jc w:val="right"/>
              <w:rPr/>
            </w:pPr>
            <w:r>
              <w:rPr/>
              <w:t>673,018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12" w:space="0" w:color="000000"/>
            </w:tcBorders>
            <w:shd w:fill="CCEEFF" w:val="clear"/>
            <w:vAlign w:val="center"/>
          </w:tcPr>
          <w:p>
            <w:pPr>
              <w:pStyle w:val="TableContents"/>
              <w:bidi w:val="0"/>
              <w:spacing w:before="0" w:after="283"/>
              <w:jc w:val="left"/>
              <w:rPr/>
            </w:pPr>
            <w:r>
              <w:rPr/>
              <w:t> </w:t>
            </w:r>
          </w:p>
        </w:tc>
        <w:tc>
          <w:tcPr>
            <w:tcW w:w="1237"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bottom w:val="single" w:sz="12" w:space="0" w:color="000000"/>
            </w:tcBorders>
            <w:shd w:fill="CCEEFF" w:val="clear"/>
            <w:vAlign w:val="center"/>
          </w:tcPr>
          <w:p>
            <w:pPr>
              <w:pStyle w:val="TableContents"/>
              <w:bidi w:val="0"/>
              <w:spacing w:before="0" w:after="283"/>
              <w:jc w:val="left"/>
              <w:rPr/>
            </w:pPr>
            <w:r>
              <w:rPr/>
              <w:t> </w:t>
            </w:r>
          </w:p>
        </w:tc>
        <w:tc>
          <w:tcPr>
            <w:tcW w:w="812"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85" w:type="dxa"/>
            <w:tcBorders>
              <w:bottom w:val="single" w:sz="12" w:space="0" w:color="000000"/>
            </w:tcBorders>
            <w:shd w:fill="CCEEFF" w:val="clear"/>
            <w:vAlign w:val="center"/>
          </w:tcPr>
          <w:p>
            <w:pPr>
              <w:pStyle w:val="TableContents"/>
              <w:bidi w:val="0"/>
              <w:spacing w:before="0" w:after="283"/>
              <w:jc w:val="right"/>
              <w:rPr/>
            </w:pPr>
            <w:r>
              <w:rPr/>
              <w:t>(673,018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bottom w:val="single" w:sz="12" w:space="0" w:color="000000"/>
            </w:tcBorders>
            <w:shd w:fill="CCEEFF" w:val="clear"/>
            <w:vAlign w:val="center"/>
          </w:tcPr>
          <w:p>
            <w:pPr>
              <w:pStyle w:val="TableContents"/>
              <w:bidi w:val="0"/>
              <w:spacing w:before="0" w:after="283"/>
              <w:jc w:val="left"/>
              <w:rPr/>
            </w:pPr>
            <w:r>
              <w:rPr/>
              <w:t> </w:t>
            </w:r>
          </w:p>
        </w:tc>
        <w:tc>
          <w:tcPr>
            <w:tcW w:w="715"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1" w:type="dxa"/>
            <w:tcBorders>
              <w:bottom w:val="single" w:sz="12" w:space="0" w:color="000000"/>
            </w:tcBorders>
            <w:shd w:fill="CCEEFF" w:val="clear"/>
            <w:vAlign w:val="center"/>
          </w:tcPr>
          <w:p>
            <w:pPr>
              <w:pStyle w:val="TableContents"/>
              <w:bidi w:val="0"/>
              <w:spacing w:before="0" w:after="283"/>
              <w:jc w:val="left"/>
              <w:rPr/>
            </w:pPr>
            <w:r>
              <w:rPr/>
              <w:t> </w:t>
            </w:r>
          </w:p>
        </w:tc>
        <w:tc>
          <w:tcPr>
            <w:tcW w:w="339" w:type="dxa"/>
            <w:tcBorders>
              <w:bottom w:val="single" w:sz="12" w:space="0" w:color="000000"/>
            </w:tcBorders>
            <w:shd w:fill="CCEEFF" w:val="cle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80" w:type="dxa"/>
            <w:tcBorders/>
            <w:tcMar>
              <w:bottom w:w="0" w:type="dxa"/>
            </w:tcMar>
            <w:vAlign w:val="center"/>
          </w:tcPr>
          <w:p>
            <w:pPr>
              <w:pStyle w:val="TableContents"/>
              <w:bidi w:val="0"/>
              <w:spacing w:before="0" w:after="283"/>
              <w:jc w:val="left"/>
              <w:rPr>
                <w:b/>
              </w:rPr>
            </w:pPr>
            <w:r>
              <w:rPr>
                <w:b/>
              </w:rPr>
              <w:t>Total Affiliated Investments</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6" w:type="dxa"/>
            <w:tcBorders>
              <w:bottom w:val="double" w:sz="10" w:space="0" w:color="000000"/>
            </w:tcBorders>
            <w:vAlign w:val="center"/>
          </w:tcPr>
          <w:p>
            <w:pPr>
              <w:pStyle w:val="TableContents"/>
              <w:bidi w:val="0"/>
              <w:spacing w:before="0" w:after="283"/>
              <w:jc w:val="left"/>
              <w:rPr/>
            </w:pPr>
            <w:r>
              <w:rPr/>
              <w:t>$</w:t>
            </w:r>
          </w:p>
        </w:tc>
        <w:tc>
          <w:tcPr>
            <w:tcW w:w="1309" w:type="dxa"/>
            <w:tcBorders>
              <w:bottom w:val="double" w:sz="10" w:space="0" w:color="000000"/>
            </w:tcBorders>
            <w:vAlign w:val="center"/>
          </w:tcPr>
          <w:p>
            <w:pPr>
              <w:pStyle w:val="TableContents"/>
              <w:bidi w:val="0"/>
              <w:spacing w:before="0" w:after="283"/>
              <w:jc w:val="right"/>
              <w:rPr/>
            </w:pPr>
            <w:r>
              <w:rPr/>
              <w:t>35,381,405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8" w:type="dxa"/>
            <w:tcBorders>
              <w:bottom w:val="double" w:sz="10" w:space="0" w:color="000000"/>
            </w:tcBorders>
            <w:vAlign w:val="center"/>
          </w:tcPr>
          <w:p>
            <w:pPr>
              <w:pStyle w:val="TableContents"/>
              <w:bidi w:val="0"/>
              <w:spacing w:before="0" w:after="283"/>
              <w:jc w:val="left"/>
              <w:rPr/>
            </w:pPr>
            <w:r>
              <w:rPr/>
              <w:t>$</w:t>
            </w:r>
          </w:p>
        </w:tc>
        <w:tc>
          <w:tcPr>
            <w:tcW w:w="1237" w:type="dxa"/>
            <w:tcBorders>
              <w:bottom w:val="double" w:sz="10" w:space="0" w:color="000000"/>
            </w:tcBorders>
            <w:vAlign w:val="center"/>
          </w:tcPr>
          <w:p>
            <w:pPr>
              <w:pStyle w:val="TableContents"/>
              <w:bidi w:val="0"/>
              <w:spacing w:before="0" w:after="283"/>
              <w:jc w:val="right"/>
              <w:rPr/>
            </w:pPr>
            <w:r>
              <w:rPr/>
              <w:t>3,408,970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8" w:type="dxa"/>
            <w:tcBorders>
              <w:bottom w:val="double" w:sz="10" w:space="0" w:color="000000"/>
            </w:tcBorders>
            <w:vAlign w:val="center"/>
          </w:tcPr>
          <w:p>
            <w:pPr>
              <w:pStyle w:val="TableContents"/>
              <w:bidi w:val="0"/>
              <w:spacing w:before="0" w:after="283"/>
              <w:jc w:val="left"/>
              <w:rPr/>
            </w:pPr>
            <w:r>
              <w:rPr/>
              <w:t>$</w:t>
            </w:r>
          </w:p>
        </w:tc>
        <w:tc>
          <w:tcPr>
            <w:tcW w:w="812" w:type="dxa"/>
            <w:tcBorders>
              <w:bottom w:val="double" w:sz="10"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pPr>
            <w:r>
              <w:rPr/>
              <w:t>$</w:t>
            </w:r>
          </w:p>
        </w:tc>
        <w:tc>
          <w:tcPr>
            <w:tcW w:w="1085" w:type="dxa"/>
            <w:tcBorders>
              <w:bottom w:val="double" w:sz="10" w:space="0" w:color="000000"/>
            </w:tcBorders>
            <w:vAlign w:val="center"/>
          </w:tcPr>
          <w:p>
            <w:pPr>
              <w:pStyle w:val="TableContents"/>
              <w:bidi w:val="0"/>
              <w:spacing w:before="0" w:after="283"/>
              <w:jc w:val="right"/>
              <w:rPr/>
            </w:pPr>
            <w:r>
              <w:rPr/>
              <w:t>(2,110,960</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05" w:type="dxa"/>
            <w:tcBorders>
              <w:bottom w:val="double" w:sz="10" w:space="0" w:color="000000"/>
            </w:tcBorders>
            <w:vAlign w:val="center"/>
          </w:tcPr>
          <w:p>
            <w:pPr>
              <w:pStyle w:val="TableContents"/>
              <w:bidi w:val="0"/>
              <w:spacing w:before="0" w:after="283"/>
              <w:jc w:val="left"/>
              <w:rPr/>
            </w:pPr>
            <w:r>
              <w:rPr/>
              <w:t>$</w:t>
            </w:r>
          </w:p>
        </w:tc>
        <w:tc>
          <w:tcPr>
            <w:tcW w:w="715" w:type="dxa"/>
            <w:tcBorders>
              <w:bottom w:val="double" w:sz="10" w:space="0" w:color="000000"/>
            </w:tcBorders>
            <w:vAlign w:val="center"/>
          </w:tcPr>
          <w:p>
            <w:pPr>
              <w:pStyle w:val="TableContents"/>
              <w:bidi w:val="0"/>
              <w:spacing w:before="0" w:after="283"/>
              <w:jc w:val="right"/>
              <w:rPr/>
            </w:pPr>
            <w:r>
              <w:rPr/>
              <w:t>3,162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pPr>
            <w:r>
              <w:rPr/>
              <w:t>$</w:t>
            </w:r>
          </w:p>
        </w:tc>
        <w:tc>
          <w:tcPr>
            <w:tcW w:w="1130" w:type="dxa"/>
            <w:tcBorders>
              <w:bottom w:val="double" w:sz="10" w:space="0" w:color="000000"/>
            </w:tcBorders>
            <w:vAlign w:val="center"/>
          </w:tcPr>
          <w:p>
            <w:pPr>
              <w:pStyle w:val="TableContents"/>
              <w:bidi w:val="0"/>
              <w:spacing w:before="0" w:after="283"/>
              <w:jc w:val="right"/>
              <w:rPr/>
            </w:pPr>
            <w:r>
              <w:rPr/>
              <w:t>36,682,577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pPr>
            <w:r>
              <w:rPr/>
              <w:t>$</w:t>
            </w:r>
          </w:p>
        </w:tc>
        <w:tc>
          <w:tcPr>
            <w:tcW w:w="1010" w:type="dxa"/>
            <w:tcBorders>
              <w:bottom w:val="double" w:sz="10" w:space="0" w:color="000000"/>
            </w:tcBorders>
            <w:vAlign w:val="center"/>
          </w:tcPr>
          <w:p>
            <w:pPr>
              <w:pStyle w:val="TableContents"/>
              <w:bidi w:val="0"/>
              <w:spacing w:before="0" w:after="283"/>
              <w:jc w:val="right"/>
              <w:rPr/>
            </w:pPr>
            <w:r>
              <w:rPr/>
              <w:t>2,918,091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1" w:type="dxa"/>
            <w:tcBorders>
              <w:bottom w:val="double" w:sz="10" w:space="0" w:color="000000"/>
            </w:tcBorders>
            <w:vAlign w:val="center"/>
          </w:tcPr>
          <w:p>
            <w:pPr>
              <w:pStyle w:val="TableContents"/>
              <w:bidi w:val="0"/>
              <w:spacing w:before="0" w:after="283"/>
              <w:jc w:val="left"/>
              <w:rPr/>
            </w:pPr>
            <w:r>
              <w:rPr/>
              <w:t>$</w:t>
            </w:r>
          </w:p>
        </w:tc>
        <w:tc>
          <w:tcPr>
            <w:tcW w:w="339" w:type="dxa"/>
            <w:tcBorders>
              <w:bottom w:val="double" w:sz="10" w:space="0" w:color="000000"/>
            </w:tcBorders>
            <w:vAlign w:val="center"/>
          </w:tcPr>
          <w:p>
            <w:pPr>
              <w:pStyle w:val="TableContents"/>
              <w:bidi w:val="0"/>
              <w:spacing w:before="0" w:after="0"/>
              <w:jc w:val="right"/>
              <w:rPr/>
            </w:pPr>
            <w:r>
              <w:rPr/>
              <w:t>-</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2110" w:type="dxa"/>
        <w:jc w:val="left"/>
        <w:tblInd w:w="0" w:type="dxa"/>
        <w:tblLayout w:type="fixed"/>
        <w:tblCellMar>
          <w:top w:w="0" w:type="dxa"/>
          <w:left w:w="0" w:type="dxa"/>
          <w:bottom w:w="28" w:type="dxa"/>
          <w:right w:w="0" w:type="dxa"/>
        </w:tblCellMar>
      </w:tblPr>
      <w:tblGrid>
        <w:gridCol w:w="1070"/>
        <w:gridCol w:w="90"/>
        <w:gridCol w:w="980"/>
        <w:gridCol w:w="90"/>
        <w:gridCol w:w="156"/>
        <w:gridCol w:w="1094"/>
        <w:gridCol w:w="90"/>
        <w:gridCol w:w="90"/>
        <w:gridCol w:w="171"/>
        <w:gridCol w:w="1034"/>
        <w:gridCol w:w="110"/>
        <w:gridCol w:w="90"/>
        <w:gridCol w:w="196"/>
        <w:gridCol w:w="769"/>
        <w:gridCol w:w="90"/>
        <w:gridCol w:w="90"/>
        <w:gridCol w:w="155"/>
        <w:gridCol w:w="935"/>
        <w:gridCol w:w="110"/>
        <w:gridCol w:w="90"/>
        <w:gridCol w:w="434"/>
        <w:gridCol w:w="351"/>
        <w:gridCol w:w="90"/>
        <w:gridCol w:w="90"/>
        <w:gridCol w:w="155"/>
        <w:gridCol w:w="1085"/>
        <w:gridCol w:w="90"/>
        <w:gridCol w:w="90"/>
        <w:gridCol w:w="155"/>
        <w:gridCol w:w="875"/>
        <w:gridCol w:w="90"/>
        <w:gridCol w:w="90"/>
        <w:gridCol w:w="155"/>
        <w:gridCol w:w="725"/>
        <w:gridCol w:w="135"/>
      </w:tblGrid>
      <w:tr>
        <w:trPr/>
        <w:tc>
          <w:tcPr>
            <w:tcW w:w="107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Investment</w:t>
            </w:r>
            <w:r>
              <w:rPr>
                <w:rFonts w:ascii="Times New Roman;Times;Serif" w:hAnsi="Times New Roman;Times;Serif"/>
                <w:b/>
                <w:position w:val="7"/>
                <w:sz w:val="16"/>
                <w:sz w:val="20"/>
              </w:rPr>
              <w:t>(1)(2)</w:t>
            </w:r>
          </w:p>
        </w:tc>
        <w:tc>
          <w:tcPr>
            <w:tcW w:w="90" w:type="dxa"/>
            <w:tcBorders/>
            <w:tcMar>
              <w:bottom w:w="0"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Type of Investment</w:t>
            </w:r>
          </w:p>
        </w:tc>
        <w:tc>
          <w:tcPr>
            <w:tcW w:w="90"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 at September 30, 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Purchases/(Sales)</w:t>
              <w:br/>
              <w:t>of or</w:t>
              <w:br/>
              <w:t>Advances/</w:t>
              <w:br/>
              <w:t>(Distributions)</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Transfers In/(Out)</w:t>
              <w:br/>
              <w:t> of Controlled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Unrealized Gain/(Loss)</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Realized </w:t>
              <w:br/>
              <w:t>Gain/(Loss)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Fair Value at </w:t>
              <w:br/>
              <w:t>June 30,</w:t>
              <w:b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Earned Income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Fee/Other Income</w:t>
            </w:r>
          </w:p>
        </w:tc>
        <w:tc>
          <w:tcPr>
            <w:tcW w:w="135" w:type="dxa"/>
            <w:tcBorders/>
            <w:tcMar>
              <w:bottom w:w="0" w:type="dxa"/>
            </w:tcMar>
            <w:vAlign w:val="center"/>
          </w:tcPr>
          <w:p>
            <w:pPr>
              <w:pStyle w:val="TableContents"/>
              <w:bidi w:val="0"/>
              <w:spacing w:before="0" w:after="283"/>
              <w:jc w:val="left"/>
              <w:rPr/>
            </w:pPr>
            <w:r>
              <w:rPr/>
              <w:t> </w:t>
            </w:r>
          </w:p>
        </w:tc>
      </w:tr>
      <w:tr>
        <w:trPr/>
        <w:tc>
          <w:tcPr>
            <w:tcW w:w="2140" w:type="dxa"/>
            <w:gridSpan w:val="3"/>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Controlled Investments</w:t>
            </w:r>
          </w:p>
        </w:tc>
        <w:tc>
          <w:tcPr>
            <w:tcW w:w="90" w:type="dxa"/>
            <w:tcBorders/>
            <w:tcMar>
              <w:bottom w:w="0" w:type="dxa"/>
            </w:tcMar>
            <w:vAlign w:val="center"/>
          </w:tcPr>
          <w:p>
            <w:pPr>
              <w:pStyle w:val="TableContents"/>
              <w:bidi w:val="0"/>
              <w:spacing w:before="0" w:after="283"/>
              <w:jc w:val="left"/>
              <w:rPr/>
            </w:pPr>
            <w:r>
              <w:rPr/>
              <w:t> </w:t>
            </w:r>
          </w:p>
        </w:tc>
        <w:tc>
          <w:tcPr>
            <w:tcW w:w="125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5"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0"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ECC Capital Corp.</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Secured First Lien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tcMar>
              <w:bottom w:w="0" w:type="dxa"/>
            </w:tcM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1"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480,427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0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w:t>
            </w:r>
          </w:p>
        </w:tc>
        <w:tc>
          <w:tcPr>
            <w:tcW w:w="90" w:type="dxa"/>
            <w:tcBorders/>
            <w:tcMar>
              <w:bottom w:w="0" w:type="dxa"/>
            </w:tcMar>
            <w:vAlign w:val="center"/>
          </w:tcPr>
          <w:p>
            <w:pPr>
              <w:pStyle w:val="TableContents"/>
              <w:bidi w:val="0"/>
              <w:spacing w:before="0" w:after="283"/>
              <w:jc w:val="left"/>
              <w:rPr/>
            </w:pPr>
            <w:r>
              <w:rPr/>
              <w:t> </w:t>
            </w:r>
          </w:p>
        </w:tc>
        <w:tc>
          <w:tcPr>
            <w:tcW w:w="156" w:type="dxa"/>
            <w:tcBorders/>
            <w:tcMar>
              <w:bottom w:w="0" w:type="dxa"/>
            </w:tcMar>
            <w:vAlign w:val="center"/>
          </w:tcPr>
          <w:p>
            <w:pPr>
              <w:pStyle w:val="TableContents"/>
              <w:bidi w:val="0"/>
              <w:spacing w:before="0" w:after="283"/>
              <w:jc w:val="left"/>
              <w:rPr/>
            </w:pPr>
            <w:r>
              <w:rPr/>
              <w:t> </w:t>
            </w:r>
          </w:p>
        </w:tc>
        <w:tc>
          <w:tcPr>
            <w:tcW w:w="1094"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6,636,000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034"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6" w:type="dxa"/>
            <w:tcBorders/>
            <w:tcMar>
              <w:bottom w:w="0" w:type="dxa"/>
            </w:tcMar>
            <w:vAlign w:val="center"/>
          </w:tcPr>
          <w:p>
            <w:pPr>
              <w:pStyle w:val="TableContents"/>
              <w:bidi w:val="0"/>
              <w:spacing w:before="0" w:after="283"/>
              <w:jc w:val="left"/>
              <w:rPr/>
            </w:pPr>
            <w:r>
              <w:rPr/>
              <w:t> </w:t>
            </w:r>
          </w:p>
        </w:tc>
        <w:tc>
          <w:tcPr>
            <w:tcW w:w="769"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924,000</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34" w:type="dxa"/>
            <w:tcBorders/>
            <w:tcMar>
              <w:bottom w:w="0" w:type="dxa"/>
            </w:tcMar>
            <w:vAlign w:val="center"/>
          </w:tcPr>
          <w:p>
            <w:pPr>
              <w:pStyle w:val="TableContents"/>
              <w:bidi w:val="0"/>
              <w:spacing w:before="0" w:after="283"/>
              <w:jc w:val="left"/>
              <w:rPr/>
            </w:pPr>
            <w:r>
              <w:rPr/>
              <w:t> </w:t>
            </w:r>
          </w:p>
        </w:tc>
        <w:tc>
          <w:tcPr>
            <w:tcW w:w="351"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7,560,000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118,787</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FlexFIN,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37,180,761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(2,617,801</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745,800</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34" w:type="dxa"/>
            <w:tcBorders/>
            <w:shd w:fill="CCEEFF" w:val="clear"/>
            <w:tcMar>
              <w:bottom w:w="0" w:type="dxa"/>
            </w:tcMar>
            <w:vAlign w:val="center"/>
          </w:tcPr>
          <w:p>
            <w:pPr>
              <w:pStyle w:val="TableContents"/>
              <w:bidi w:val="0"/>
              <w:spacing w:before="0" w:after="283"/>
              <w:jc w:val="left"/>
              <w:rPr/>
            </w:pPr>
            <w:r>
              <w:rPr/>
              <w:t> </w:t>
            </w:r>
          </w:p>
        </w:tc>
        <w:tc>
          <w:tcPr>
            <w:tcW w:w="351"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35,308,760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3,298,977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NSG Captive, Inc.</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w:t>
            </w:r>
          </w:p>
        </w:tc>
        <w:tc>
          <w:tcPr>
            <w:tcW w:w="90" w:type="dxa"/>
            <w:tcBorders/>
            <w:tcMar>
              <w:bottom w:w="0" w:type="dxa"/>
            </w:tcMar>
            <w:vAlign w:val="center"/>
          </w:tcPr>
          <w:p>
            <w:pPr>
              <w:pStyle w:val="TableContents"/>
              <w:bidi w:val="0"/>
              <w:spacing w:before="0" w:after="283"/>
              <w:jc w:val="left"/>
              <w:rPr/>
            </w:pPr>
            <w:r>
              <w:rPr/>
              <w:t> </w:t>
            </w:r>
          </w:p>
        </w:tc>
        <w:tc>
          <w:tcPr>
            <w:tcW w:w="156" w:type="dxa"/>
            <w:tcBorders/>
            <w:tcMar>
              <w:bottom w:w="0" w:type="dxa"/>
            </w:tcMar>
            <w:vAlign w:val="center"/>
          </w:tcPr>
          <w:p>
            <w:pPr>
              <w:pStyle w:val="TableContents"/>
              <w:bidi w:val="0"/>
              <w:spacing w:before="0" w:after="283"/>
              <w:jc w:val="left"/>
              <w:rPr/>
            </w:pPr>
            <w:r>
              <w:rPr/>
              <w:t> </w:t>
            </w:r>
          </w:p>
        </w:tc>
        <w:tc>
          <w:tcPr>
            <w:tcW w:w="1094"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48,469,540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034"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6,474,300</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6" w:type="dxa"/>
            <w:tcBorders/>
            <w:tcMar>
              <w:bottom w:w="0" w:type="dxa"/>
            </w:tcMar>
            <w:vAlign w:val="center"/>
          </w:tcPr>
          <w:p>
            <w:pPr>
              <w:pStyle w:val="TableContents"/>
              <w:bidi w:val="0"/>
              <w:spacing w:before="0" w:after="283"/>
              <w:jc w:val="left"/>
              <w:rPr/>
            </w:pPr>
            <w:r>
              <w:rPr/>
              <w:t> </w:t>
            </w:r>
          </w:p>
        </w:tc>
        <w:tc>
          <w:tcPr>
            <w:tcW w:w="769"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3,572,078</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34" w:type="dxa"/>
            <w:tcBorders/>
            <w:tcMar>
              <w:bottom w:w="0" w:type="dxa"/>
            </w:tcMar>
            <w:vAlign w:val="center"/>
          </w:tcPr>
          <w:p>
            <w:pPr>
              <w:pStyle w:val="TableContents"/>
              <w:bidi w:val="0"/>
              <w:spacing w:before="0" w:after="283"/>
              <w:jc w:val="left"/>
              <w:rPr/>
            </w:pPr>
            <w:r>
              <w:rPr/>
              <w:t> </w:t>
            </w:r>
          </w:p>
        </w:tc>
        <w:tc>
          <w:tcPr>
            <w:tcW w:w="351"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58,515,918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375,000</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NVTN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Secured First Lien Delayed Draw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950,000</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34" w:type="dxa"/>
            <w:tcBorders/>
            <w:shd w:fill="CCEEFF" w:val="clear"/>
            <w:tcMar>
              <w:bottom w:w="0" w:type="dxa"/>
            </w:tcMar>
            <w:vAlign w:val="center"/>
          </w:tcPr>
          <w:p>
            <w:pPr>
              <w:pStyle w:val="TableContents"/>
              <w:bidi w:val="0"/>
              <w:spacing w:before="0" w:after="283"/>
              <w:jc w:val="left"/>
              <w:rPr/>
            </w:pPr>
            <w:r>
              <w:rPr/>
              <w:t> </w:t>
            </w:r>
          </w:p>
        </w:tc>
        <w:tc>
          <w:tcPr>
            <w:tcW w:w="351"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837,394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0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Secured First Lien Term Loan B</w:t>
            </w:r>
          </w:p>
        </w:tc>
        <w:tc>
          <w:tcPr>
            <w:tcW w:w="90" w:type="dxa"/>
            <w:tcBorders/>
            <w:tcMar>
              <w:bottom w:w="0" w:type="dxa"/>
            </w:tcMar>
            <w:vAlign w:val="center"/>
          </w:tcPr>
          <w:p>
            <w:pPr>
              <w:pStyle w:val="TableContents"/>
              <w:bidi w:val="0"/>
              <w:spacing w:before="0" w:after="283"/>
              <w:jc w:val="left"/>
              <w:rPr/>
            </w:pPr>
            <w:r>
              <w:rPr/>
              <w:t> </w:t>
            </w:r>
          </w:p>
        </w:tc>
        <w:tc>
          <w:tcPr>
            <w:tcW w:w="156" w:type="dxa"/>
            <w:tcBorders/>
            <w:tcMar>
              <w:bottom w:w="0" w:type="dxa"/>
            </w:tcMar>
            <w:vAlign w:val="center"/>
          </w:tcPr>
          <w:p>
            <w:pPr>
              <w:pStyle w:val="TableContents"/>
              <w:bidi w:val="0"/>
              <w:spacing w:before="0" w:after="283"/>
              <w:jc w:val="left"/>
              <w:rPr/>
            </w:pPr>
            <w:r>
              <w:rPr/>
              <w:t> </w:t>
            </w:r>
          </w:p>
        </w:tc>
        <w:tc>
          <w:tcPr>
            <w:tcW w:w="1094"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13,427,601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034"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6" w:type="dxa"/>
            <w:tcBorders/>
            <w:tcMar>
              <w:bottom w:w="0" w:type="dxa"/>
            </w:tcMar>
            <w:vAlign w:val="center"/>
          </w:tcPr>
          <w:p>
            <w:pPr>
              <w:pStyle w:val="TableContents"/>
              <w:bidi w:val="0"/>
              <w:spacing w:before="0" w:after="283"/>
              <w:jc w:val="left"/>
              <w:rPr/>
            </w:pPr>
            <w:r>
              <w:rPr/>
              <w:t> </w:t>
            </w:r>
          </w:p>
        </w:tc>
        <w:tc>
          <w:tcPr>
            <w:tcW w:w="769"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(3,773,770</w:t>
            </w:r>
          </w:p>
        </w:tc>
        <w:tc>
          <w:tcPr>
            <w:tcW w:w="1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434" w:type="dxa"/>
            <w:tcBorders/>
            <w:tcMar>
              <w:bottom w:w="0" w:type="dxa"/>
            </w:tcMar>
            <w:vAlign w:val="center"/>
          </w:tcPr>
          <w:p>
            <w:pPr>
              <w:pStyle w:val="TableContents"/>
              <w:bidi w:val="0"/>
              <w:spacing w:before="0" w:after="283"/>
              <w:jc w:val="left"/>
              <w:rPr/>
            </w:pPr>
            <w:r>
              <w:rPr/>
              <w:t> </w:t>
            </w:r>
          </w:p>
        </w:tc>
        <w:tc>
          <w:tcPr>
            <w:tcW w:w="351"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9,653,831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495,203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Secured Revolving Note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single" w:sz="12" w:space="0" w:color="000000"/>
            </w:tcBorders>
            <w:shd w:fill="CCEEFF" w:val="clear"/>
            <w:vAlign w:val="center"/>
          </w:tcPr>
          <w:p>
            <w:pPr>
              <w:pStyle w:val="TableContents"/>
              <w:bidi w:val="0"/>
              <w:spacing w:before="0" w:after="283"/>
              <w:jc w:val="left"/>
              <w:rPr/>
            </w:pPr>
            <w:r>
              <w:rPr/>
              <w:t> </w:t>
            </w:r>
          </w:p>
        </w:tc>
        <w:tc>
          <w:tcPr>
            <w:tcW w:w="1094"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bottom w:val="single" w:sz="12" w:space="0" w:color="000000"/>
            </w:tcBorders>
            <w:shd w:fill="CCEEFF" w:val="clear"/>
            <w:vAlign w:val="center"/>
          </w:tcPr>
          <w:p>
            <w:pPr>
              <w:pStyle w:val="TableContents"/>
              <w:bidi w:val="0"/>
              <w:spacing w:before="0" w:after="283"/>
              <w:jc w:val="left"/>
              <w:rPr/>
            </w:pPr>
            <w:r>
              <w:rPr/>
              <w:t> </w:t>
            </w:r>
          </w:p>
        </w:tc>
        <w:tc>
          <w:tcPr>
            <w:tcW w:w="103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650,000</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bottom w:val="single" w:sz="12" w:space="0" w:color="000000"/>
            </w:tcBorders>
            <w:shd w:fill="CCEEFF" w:val="clear"/>
            <w:vAlign w:val="center"/>
          </w:tcPr>
          <w:p>
            <w:pPr>
              <w:pStyle w:val="TableContents"/>
              <w:bidi w:val="0"/>
              <w:spacing w:before="0" w:after="283"/>
              <w:jc w:val="left"/>
              <w:rPr/>
            </w:pPr>
            <w:r>
              <w:rPr/>
              <w:t> </w:t>
            </w:r>
          </w:p>
        </w:tc>
        <w:tc>
          <w:tcPr>
            <w:tcW w:w="769"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935" w:type="dxa"/>
            <w:tcBorders>
              <w:bottom w:val="single" w:sz="12"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34" w:type="dxa"/>
            <w:tcBorders>
              <w:bottom w:val="single" w:sz="12" w:space="0" w:color="000000"/>
            </w:tcBorders>
            <w:shd w:fill="CCEEFF" w:val="clear"/>
            <w:vAlign w:val="center"/>
          </w:tcPr>
          <w:p>
            <w:pPr>
              <w:pStyle w:val="TableContents"/>
              <w:bidi w:val="0"/>
              <w:spacing w:before="0" w:after="283"/>
              <w:jc w:val="left"/>
              <w:rPr/>
            </w:pPr>
            <w:r>
              <w:rPr/>
              <w:t> </w:t>
            </w:r>
          </w:p>
        </w:tc>
        <w:tc>
          <w:tcPr>
            <w:tcW w:w="351"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108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725" w:type="dxa"/>
            <w:tcBorders>
              <w:bottom w:val="single" w:sz="12" w:space="0" w:color="000000"/>
            </w:tcBorders>
            <w:shd w:fill="CCEEFF" w:val="cle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07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Controlled Investments</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6" w:type="dxa"/>
            <w:tcBorders>
              <w:bottom w:val="double" w:sz="10"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4" w:type="dxa"/>
            <w:tcBorders>
              <w:bottom w:val="double" w:sz="10"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121,610,914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bottom w:val="double" w:sz="10"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10"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5,456,499</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6" w:type="dxa"/>
            <w:tcBorders>
              <w:bottom w:val="double" w:sz="10"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9" w:type="dxa"/>
            <w:tcBorders>
              <w:bottom w:val="double" w:sz="10"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bottom w:val="double" w:sz="10"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10"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1,468,108</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34" w:type="dxa"/>
            <w:tcBorders>
              <w:bottom w:val="double" w:sz="10"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1" w:type="dxa"/>
            <w:tcBorders>
              <w:bottom w:val="double" w:sz="10"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bottom w:val="double" w:sz="10"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0"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128,535,521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bottom w:val="double" w:sz="10"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10"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5,142,125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bottom w:val="double" w:sz="10"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10"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493,787</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3. Investments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tbl>
      <w:tblPr>
        <w:tblW w:w="13795" w:type="dxa"/>
        <w:jc w:val="left"/>
        <w:tblInd w:w="0" w:type="dxa"/>
        <w:tblLayout w:type="fixed"/>
        <w:tblCellMar>
          <w:top w:w="0" w:type="dxa"/>
          <w:left w:w="0" w:type="dxa"/>
          <w:bottom w:w="28" w:type="dxa"/>
          <w:right w:w="0" w:type="dxa"/>
        </w:tblCellMar>
      </w:tblPr>
      <w:tblGrid>
        <w:gridCol w:w="1295"/>
        <w:gridCol w:w="90"/>
        <w:gridCol w:w="1175"/>
        <w:gridCol w:w="90"/>
        <w:gridCol w:w="196"/>
        <w:gridCol w:w="1309"/>
        <w:gridCol w:w="90"/>
        <w:gridCol w:w="90"/>
        <w:gridCol w:w="228"/>
        <w:gridCol w:w="1217"/>
        <w:gridCol w:w="125"/>
        <w:gridCol w:w="90"/>
        <w:gridCol w:w="228"/>
        <w:gridCol w:w="812"/>
        <w:gridCol w:w="90"/>
        <w:gridCol w:w="90"/>
        <w:gridCol w:w="170"/>
        <w:gridCol w:w="1010"/>
        <w:gridCol w:w="125"/>
        <w:gridCol w:w="90"/>
        <w:gridCol w:w="170"/>
        <w:gridCol w:w="1205"/>
        <w:gridCol w:w="125"/>
        <w:gridCol w:w="90"/>
        <w:gridCol w:w="170"/>
        <w:gridCol w:w="1130"/>
        <w:gridCol w:w="90"/>
        <w:gridCol w:w="90"/>
        <w:gridCol w:w="170"/>
        <w:gridCol w:w="830"/>
        <w:gridCol w:w="90"/>
        <w:gridCol w:w="90"/>
        <w:gridCol w:w="461"/>
        <w:gridCol w:w="339"/>
        <w:gridCol w:w="135"/>
      </w:tblGrid>
      <w:tr>
        <w:trPr/>
        <w:tc>
          <w:tcPr>
            <w:tcW w:w="1295" w:type="dxa"/>
            <w:tcBorders>
              <w:bottom w:val="single" w:sz="12" w:space="0" w:color="000000"/>
            </w:tcBorders>
            <w:vAlign w:val="center"/>
          </w:tcPr>
          <w:p>
            <w:pPr>
              <w:pStyle w:val="TableContents"/>
              <w:bidi w:val="0"/>
              <w:spacing w:before="0" w:after="283"/>
              <w:jc w:val="left"/>
              <w:rPr>
                <w:b/>
                <w:i w:val="false"/>
                <w:caps w:val="false"/>
                <w:smallCaps w:val="false"/>
              </w:rPr>
            </w:pPr>
            <w:r>
              <w:rPr>
                <w:b/>
                <w:i w:val="false"/>
                <w:caps w:val="false"/>
                <w:smallCaps w:val="false"/>
              </w:rPr>
              <w:t>Name of Investment</w:t>
            </w:r>
            <w:r>
              <w:rPr>
                <w:rFonts w:ascii="Times New Roman;Times;Serif" w:hAnsi="Times New Roman;Times;Serif"/>
                <w:b/>
                <w:i w:val="false"/>
                <w:caps w:val="false"/>
                <w:smallCaps w:val="false"/>
                <w:position w:val="7"/>
                <w:sz w:val="16"/>
                <w:sz w:val="20"/>
              </w:rPr>
              <w:t>(1)(2)</w:t>
            </w:r>
          </w:p>
        </w:tc>
        <w:tc>
          <w:tcPr>
            <w:tcW w:w="9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b/>
              </w:rPr>
            </w:pPr>
            <w:r>
              <w:rPr>
                <w:b/>
              </w:rPr>
              <w:t>Type of Investment</w:t>
            </w:r>
          </w:p>
        </w:tc>
        <w:tc>
          <w:tcPr>
            <w:tcW w:w="90" w:type="dxa"/>
            <w:tcBorders/>
            <w:tcMar>
              <w:bottom w:w="0" w:type="dxa"/>
            </w:tcMar>
            <w:vAlign w:val="center"/>
          </w:tcPr>
          <w:p>
            <w:pPr>
              <w:pStyle w:val="TableContents"/>
              <w:bidi w:val="0"/>
              <w:spacing w:before="0" w:after="283"/>
              <w:jc w:val="left"/>
              <w:rPr/>
            </w:pPr>
            <w:r>
              <w:rPr/>
              <w:t> </w:t>
            </w:r>
          </w:p>
        </w:tc>
        <w:tc>
          <w:tcPr>
            <w:tcW w:w="1505" w:type="dxa"/>
            <w:gridSpan w:val="2"/>
            <w:tcBorders>
              <w:bottom w:val="single" w:sz="12" w:space="0" w:color="000000"/>
            </w:tcBorders>
            <w:vAlign w:val="center"/>
          </w:tcPr>
          <w:p>
            <w:pPr>
              <w:pStyle w:val="TableContents"/>
              <w:bidi w:val="0"/>
              <w:spacing w:before="0" w:after="283"/>
              <w:jc w:val="center"/>
              <w:rPr>
                <w:b/>
              </w:rPr>
            </w:pPr>
            <w:r>
              <w:rPr>
                <w:b/>
              </w:rPr>
              <w:t>Fair Value at September 30, 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Purchases/(Sales)</w:t>
              <w:br/>
              <w:t>of or</w:t>
              <w:br/>
              <w:t>Advances/</w:t>
              <w:br/>
              <w:t>(Distributions)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Transfers In/(Out)</w:t>
              <w:br/>
              <w:t> of Affiliates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Unrealized Gain/(Loss)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5" w:type="dxa"/>
            <w:gridSpan w:val="2"/>
            <w:tcBorders>
              <w:bottom w:val="single" w:sz="12" w:space="0" w:color="000000"/>
            </w:tcBorders>
            <w:vAlign w:val="center"/>
          </w:tcPr>
          <w:p>
            <w:pPr>
              <w:pStyle w:val="TableContents"/>
              <w:bidi w:val="0"/>
              <w:spacing w:before="0" w:after="283"/>
              <w:jc w:val="center"/>
              <w:rPr>
                <w:b/>
              </w:rPr>
            </w:pPr>
            <w:r>
              <w:rPr>
                <w:b/>
              </w:rPr>
              <w:t xml:space="preserve">Realized </w:t>
              <w:br/>
              <w:t>Gain/(Loss)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 xml:space="preserve">Fair Value at </w:t>
              <w:br/>
              <w:t>June 30,</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 xml:space="preserve">Earned </w:t>
              <w:br/>
              <w:t>Income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Fee/Other Income</w:t>
            </w:r>
          </w:p>
        </w:tc>
        <w:tc>
          <w:tcPr>
            <w:tcW w:w="135" w:type="dxa"/>
            <w:tcBorders/>
            <w:tcMar>
              <w:bottom w:w="0" w:type="dxa"/>
            </w:tcMar>
            <w:vAlign w:val="center"/>
          </w:tcPr>
          <w:p>
            <w:pPr>
              <w:pStyle w:val="TableContents"/>
              <w:bidi w:val="0"/>
              <w:spacing w:before="0" w:after="283"/>
              <w:jc w:val="left"/>
              <w:rPr/>
            </w:pPr>
            <w:r>
              <w:rPr/>
              <w:t> </w:t>
            </w:r>
          </w:p>
        </w:tc>
      </w:tr>
      <w:tr>
        <w:trPr/>
        <w:tc>
          <w:tcPr>
            <w:tcW w:w="2560" w:type="dxa"/>
            <w:gridSpan w:val="3"/>
            <w:tcBorders/>
            <w:tcMar>
              <w:bottom w:w="0" w:type="dxa"/>
            </w:tcMar>
            <w:vAlign w:val="center"/>
          </w:tcPr>
          <w:p>
            <w:pPr>
              <w:pStyle w:val="TableContents"/>
              <w:bidi w:val="0"/>
              <w:spacing w:before="0" w:after="283"/>
              <w:jc w:val="left"/>
              <w:rPr>
                <w:b/>
              </w:rPr>
            </w:pPr>
            <w:r>
              <w:rPr>
                <w:b/>
              </w:rPr>
              <w:t>Affiliated Investments</w:t>
            </w:r>
          </w:p>
        </w:tc>
        <w:tc>
          <w:tcPr>
            <w:tcW w:w="90" w:type="dxa"/>
            <w:tcBorders/>
            <w:tcMar>
              <w:bottom w:w="0" w:type="dxa"/>
            </w:tcMar>
            <w:vAlign w:val="center"/>
          </w:tcPr>
          <w:p>
            <w:pPr>
              <w:pStyle w:val="TableContents"/>
              <w:bidi w:val="0"/>
              <w:spacing w:before="0" w:after="283"/>
              <w:jc w:val="left"/>
              <w:rPr/>
            </w:pPr>
            <w:r>
              <w:rPr/>
              <w:t> </w:t>
            </w:r>
          </w:p>
        </w:tc>
        <w:tc>
          <w:tcPr>
            <w:tcW w:w="150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5"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295" w:type="dxa"/>
            <w:tcBorders/>
            <w:shd w:fill="CCEEFF" w:val="clear"/>
            <w:tcMar>
              <w:bottom w:w="0" w:type="dxa"/>
            </w:tcMar>
            <w:vAlign w:val="center"/>
          </w:tcPr>
          <w:p>
            <w:pPr>
              <w:pStyle w:val="TableContents"/>
              <w:bidi w:val="0"/>
              <w:spacing w:before="0" w:after="283"/>
              <w:jc w:val="left"/>
              <w:rPr/>
            </w:pPr>
            <w:r>
              <w:rPr/>
              <w:t>Black Angus Steakhouses,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Delayed Draw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w:t>
            </w:r>
          </w:p>
        </w:tc>
        <w:tc>
          <w:tcPr>
            <w:tcW w:w="1309" w:type="dxa"/>
            <w:tcBorders/>
            <w:shd w:fill="CCEEFF" w:val="clear"/>
            <w:tcMar>
              <w:bottom w:w="0" w:type="dxa"/>
            </w:tcMar>
            <w:vAlign w:val="center"/>
          </w:tcPr>
          <w:p>
            <w:pPr>
              <w:pStyle w:val="TableContents"/>
              <w:bidi w:val="0"/>
              <w:spacing w:before="0" w:after="283"/>
              <w:jc w:val="right"/>
              <w:rPr/>
            </w:pPr>
            <w:r>
              <w:rPr/>
              <w:t>751,207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w:t>
            </w:r>
          </w:p>
        </w:tc>
        <w:tc>
          <w:tcPr>
            <w:tcW w:w="1217" w:type="dxa"/>
            <w:tcBorders/>
            <w:shd w:fill="CCEEFF" w:val="clear"/>
            <w:tcMar>
              <w:bottom w:w="0" w:type="dxa"/>
            </w:tcMar>
            <w:vAlign w:val="center"/>
          </w:tcPr>
          <w:p>
            <w:pPr>
              <w:pStyle w:val="TableContents"/>
              <w:bidi w:val="0"/>
              <w:spacing w:before="0" w:after="283"/>
              <w:jc w:val="right"/>
              <w:rPr/>
            </w:pPr>
            <w:r>
              <w:rPr/>
              <w:t>(243,889</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w:t>
            </w:r>
          </w:p>
        </w:tc>
        <w:tc>
          <w:tcPr>
            <w:tcW w:w="812" w:type="dxa"/>
            <w:tcBorders/>
            <w:shd w:fill="CCEEFF" w:val="clear"/>
            <w:tcMar>
              <w:bottom w:w="0" w:type="dxa"/>
            </w:tcMar>
            <w:vAlign w:val="center"/>
          </w:tcPr>
          <w:p>
            <w:pPr>
              <w:pStyle w:val="TableContents"/>
              <w:bidi w:val="0"/>
              <w:spacing w:before="0" w:after="0"/>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124,542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(631,860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1" w:type="dxa"/>
            <w:tcBorders/>
            <w:shd w:fill="CCEEFF" w:val="clear"/>
            <w:tcMar>
              <w:bottom w:w="0" w:type="dxa"/>
            </w:tcMar>
            <w:vAlign w:val="center"/>
          </w:tcPr>
          <w:p>
            <w:pPr>
              <w:pStyle w:val="TableContents"/>
              <w:bidi w:val="0"/>
              <w:spacing w:before="0" w:after="283"/>
              <w:jc w:val="left"/>
              <w:rPr/>
            </w:pPr>
            <w:r>
              <w:rPr/>
              <w:t>$</w:t>
            </w:r>
          </w:p>
        </w:tc>
        <w:tc>
          <w:tcPr>
            <w:tcW w:w="339"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Senior Secured First Lien Term Loan</w:t>
            </w:r>
          </w:p>
        </w:tc>
        <w:tc>
          <w:tcPr>
            <w:tcW w:w="90" w:type="dxa"/>
            <w:tcBorders/>
            <w:tcMar>
              <w:bottom w:w="0" w:type="dxa"/>
            </w:tcMar>
            <w:vAlign w:val="center"/>
          </w:tcPr>
          <w:p>
            <w:pPr>
              <w:pStyle w:val="TableContents"/>
              <w:bidi w:val="0"/>
              <w:spacing w:before="0" w:after="283"/>
              <w:jc w:val="left"/>
              <w:rPr/>
            </w:pPr>
            <w:r>
              <w:rPr/>
              <w:t> </w:t>
            </w:r>
          </w:p>
        </w:tc>
        <w:tc>
          <w:tcPr>
            <w:tcW w:w="196" w:type="dxa"/>
            <w:tcBorders/>
            <w:tcMar>
              <w:bottom w:w="0" w:type="dxa"/>
            </w:tcMar>
            <w:vAlign w:val="center"/>
          </w:tcPr>
          <w:p>
            <w:pPr>
              <w:pStyle w:val="TableContents"/>
              <w:bidi w:val="0"/>
              <w:spacing w:before="0" w:after="283"/>
              <w:jc w:val="left"/>
              <w:rPr/>
            </w:pPr>
            <w:r>
              <w:rPr/>
              <w:t> </w:t>
            </w:r>
          </w:p>
        </w:tc>
        <w:tc>
          <w:tcPr>
            <w:tcW w:w="1309"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8" w:type="dxa"/>
            <w:tcBorders/>
            <w:tcMar>
              <w:bottom w:w="0" w:type="dxa"/>
            </w:tcMar>
            <w:vAlign w:val="center"/>
          </w:tcPr>
          <w:p>
            <w:pPr>
              <w:pStyle w:val="TableContents"/>
              <w:bidi w:val="0"/>
              <w:spacing w:before="0" w:after="283"/>
              <w:jc w:val="left"/>
              <w:rPr/>
            </w:pPr>
            <w:r>
              <w:rPr/>
              <w:t> </w:t>
            </w:r>
          </w:p>
        </w:tc>
        <w:tc>
          <w:tcPr>
            <w:tcW w:w="1217"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8" w:type="dxa"/>
            <w:tcBorders/>
            <w:tcMar>
              <w:bottom w:w="0" w:type="dxa"/>
            </w:tcMar>
            <w:vAlign w:val="center"/>
          </w:tcPr>
          <w:p>
            <w:pPr>
              <w:pStyle w:val="TableContents"/>
              <w:bidi w:val="0"/>
              <w:spacing w:before="0" w:after="283"/>
              <w:jc w:val="left"/>
              <w:rPr/>
            </w:pPr>
            <w:r>
              <w:rPr/>
              <w:t> </w:t>
            </w:r>
          </w:p>
        </w:tc>
        <w:tc>
          <w:tcPr>
            <w:tcW w:w="812"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7,767,533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right"/>
              <w:rPr/>
            </w:pPr>
            <w:r>
              <w:rPr/>
              <w:t>(7,767,533</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1" w:type="dxa"/>
            <w:tcBorders/>
            <w:tcMar>
              <w:bottom w:w="0" w:type="dxa"/>
            </w:tcMar>
            <w:vAlign w:val="center"/>
          </w:tcPr>
          <w:p>
            <w:pPr>
              <w:pStyle w:val="TableContents"/>
              <w:bidi w:val="0"/>
              <w:spacing w:before="0" w:after="283"/>
              <w:jc w:val="left"/>
              <w:rPr/>
            </w:pPr>
            <w:r>
              <w:rPr/>
              <w:t> </w:t>
            </w:r>
          </w:p>
        </w:tc>
        <w:tc>
          <w:tcPr>
            <w:tcW w:w="339" w:type="dxa"/>
            <w:tcBorders/>
            <w:tcMar>
              <w:bottom w:w="0" w:type="dxa"/>
            </w:tcMar>
            <w:vAlign w:val="center"/>
          </w:tcPr>
          <w:p>
            <w:pPr>
              <w:pStyle w:val="TableContents"/>
              <w:bidi w:val="0"/>
              <w:spacing w:before="0" w:after="0"/>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2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Super Priority DDTL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1,647,776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217"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273,184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pPr>
            <w:r>
              <w:rPr/>
              <w:t>(1,920,960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1" w:type="dxa"/>
            <w:tcBorders/>
            <w:shd w:fill="CCEEFF" w:val="clear"/>
            <w:tcMar>
              <w:bottom w:w="0" w:type="dxa"/>
            </w:tcMar>
            <w:vAlign w:val="center"/>
          </w:tcPr>
          <w:p>
            <w:pPr>
              <w:pStyle w:val="TableContents"/>
              <w:bidi w:val="0"/>
              <w:spacing w:before="0" w:after="283"/>
              <w:jc w:val="left"/>
              <w:rPr/>
            </w:pPr>
            <w:r>
              <w:rPr/>
              <w:t> </w:t>
            </w:r>
          </w:p>
        </w:tc>
        <w:tc>
          <w:tcPr>
            <w:tcW w:w="339"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95" w:type="dxa"/>
            <w:tcBorders/>
            <w:tcMar>
              <w:bottom w:w="0" w:type="dxa"/>
            </w:tcMar>
            <w:vAlign w:val="center"/>
          </w:tcPr>
          <w:p>
            <w:pPr>
              <w:pStyle w:val="TableContents"/>
              <w:bidi w:val="0"/>
              <w:spacing w:before="0" w:after="283"/>
              <w:jc w:val="left"/>
              <w:rPr/>
            </w:pPr>
            <w:r>
              <w:rPr/>
              <w:t>FST Holdings Parent, LLC</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Equity</w:t>
            </w:r>
          </w:p>
        </w:tc>
        <w:tc>
          <w:tcPr>
            <w:tcW w:w="90" w:type="dxa"/>
            <w:tcBorders/>
            <w:tcMar>
              <w:bottom w:w="0" w:type="dxa"/>
            </w:tcMar>
            <w:vAlign w:val="center"/>
          </w:tcPr>
          <w:p>
            <w:pPr>
              <w:pStyle w:val="TableContents"/>
              <w:bidi w:val="0"/>
              <w:spacing w:before="0" w:after="283"/>
              <w:jc w:val="left"/>
              <w:rPr/>
            </w:pPr>
            <w:r>
              <w:rPr/>
              <w:t> </w:t>
            </w:r>
          </w:p>
        </w:tc>
        <w:tc>
          <w:tcPr>
            <w:tcW w:w="196" w:type="dxa"/>
            <w:tcBorders>
              <w:bottom w:val="single" w:sz="12" w:space="0" w:color="000000"/>
            </w:tcBorders>
            <w:vAlign w:val="center"/>
          </w:tcPr>
          <w:p>
            <w:pPr>
              <w:pStyle w:val="TableContents"/>
              <w:bidi w:val="0"/>
              <w:spacing w:before="0" w:after="283"/>
              <w:jc w:val="left"/>
              <w:rPr/>
            </w:pPr>
            <w:r>
              <w:rPr/>
              <w:t> </w:t>
            </w:r>
          </w:p>
        </w:tc>
        <w:tc>
          <w:tcPr>
            <w:tcW w:w="1309" w:type="dxa"/>
            <w:tcBorders>
              <w:bottom w:val="single" w:sz="12" w:space="0" w:color="000000"/>
            </w:tcBorders>
            <w:vAlign w:val="center"/>
          </w:tcPr>
          <w:p>
            <w:pPr>
              <w:pStyle w:val="TableContents"/>
              <w:bidi w:val="0"/>
              <w:spacing w:before="0" w:after="283"/>
              <w:jc w:val="right"/>
              <w:rPr/>
            </w:pPr>
            <w:r>
              <w:rPr/>
              <w:t>12,351,802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8" w:type="dxa"/>
            <w:tcBorders>
              <w:bottom w:val="single" w:sz="12" w:space="0" w:color="000000"/>
            </w:tcBorders>
            <w:vAlign w:val="center"/>
          </w:tcPr>
          <w:p>
            <w:pPr>
              <w:pStyle w:val="TableContents"/>
              <w:bidi w:val="0"/>
              <w:spacing w:before="0" w:after="283"/>
              <w:jc w:val="left"/>
              <w:rPr/>
            </w:pPr>
            <w:r>
              <w:rPr/>
              <w:t> </w:t>
            </w:r>
          </w:p>
        </w:tc>
        <w:tc>
          <w:tcPr>
            <w:tcW w:w="1217" w:type="dxa"/>
            <w:tcBorders>
              <w:bottom w:val="single" w:sz="12" w:space="0" w:color="000000"/>
            </w:tcBorders>
            <w:vAlign w:val="center"/>
          </w:tcPr>
          <w:p>
            <w:pPr>
              <w:pStyle w:val="TableContents"/>
              <w:bidi w:val="0"/>
              <w:spacing w:before="0" w:after="283"/>
              <w:jc w:val="right"/>
              <w:rPr/>
            </w:pPr>
            <w:r>
              <w:rPr/>
              <w:t>8,289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8" w:type="dxa"/>
            <w:tcBorders>
              <w:bottom w:val="single" w:sz="12" w:space="0" w:color="000000"/>
            </w:tcBorders>
            <w:vAlign w:val="center"/>
          </w:tcPr>
          <w:p>
            <w:pPr>
              <w:pStyle w:val="TableContents"/>
              <w:bidi w:val="0"/>
              <w:spacing w:before="0" w:after="283"/>
              <w:jc w:val="left"/>
              <w:rPr/>
            </w:pPr>
            <w:r>
              <w:rPr/>
              <w:t> </w:t>
            </w:r>
          </w:p>
        </w:tc>
        <w:tc>
          <w:tcPr>
            <w:tcW w:w="812" w:type="dxa"/>
            <w:tcBorders>
              <w:bottom w:val="single" w:sz="12"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(767,757</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130" w:type="dxa"/>
            <w:tcBorders>
              <w:bottom w:val="single" w:sz="12" w:space="0" w:color="000000"/>
            </w:tcBorders>
            <w:vAlign w:val="center"/>
          </w:tcPr>
          <w:p>
            <w:pPr>
              <w:pStyle w:val="TableContents"/>
              <w:bidi w:val="0"/>
              <w:spacing w:before="0" w:after="283"/>
              <w:jc w:val="right"/>
              <w:rPr/>
            </w:pPr>
            <w:r>
              <w:rPr/>
              <w:t>11,592,334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pPr>
            <w:r>
              <w:rPr/>
              <w:t>254,231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1" w:type="dxa"/>
            <w:tcBorders>
              <w:bottom w:val="single" w:sz="12" w:space="0" w:color="000000"/>
            </w:tcBorders>
            <w:vAlign w:val="center"/>
          </w:tcPr>
          <w:p>
            <w:pPr>
              <w:pStyle w:val="TableContents"/>
              <w:bidi w:val="0"/>
              <w:spacing w:before="0" w:after="283"/>
              <w:jc w:val="left"/>
              <w:rPr/>
            </w:pPr>
            <w:r>
              <w:rPr/>
              <w:t> </w:t>
            </w:r>
          </w:p>
        </w:tc>
        <w:tc>
          <w:tcPr>
            <w:tcW w:w="339" w:type="dxa"/>
            <w:tcBorders>
              <w:bottom w:val="single" w:sz="12" w:space="0" w:color="000000"/>
            </w:tcBorders>
            <w:vAlign w:val="center"/>
          </w:tcPr>
          <w:p>
            <w:pPr>
              <w:pStyle w:val="TableContents"/>
              <w:bidi w:val="0"/>
              <w:spacing w:before="0" w:after="0"/>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295" w:type="dxa"/>
            <w:tcBorders/>
            <w:shd w:fill="CCEEFF" w:val="clear"/>
            <w:tcMar>
              <w:bottom w:w="0" w:type="dxa"/>
            </w:tcMar>
            <w:vAlign w:val="center"/>
          </w:tcPr>
          <w:p>
            <w:pPr>
              <w:pStyle w:val="TableContents"/>
              <w:bidi w:val="0"/>
              <w:spacing w:before="0" w:after="283"/>
              <w:jc w:val="left"/>
              <w:rPr>
                <w:b/>
              </w:rPr>
            </w:pPr>
            <w:r>
              <w:rPr>
                <w:b/>
              </w:rPr>
              <w:t>Total Affiliated Investments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bottom w:val="double" w:sz="10" w:space="0" w:color="000000"/>
            </w:tcBorders>
            <w:shd w:fill="CCEEFF" w:val="clear"/>
            <w:vAlign w:val="center"/>
          </w:tcPr>
          <w:p>
            <w:pPr>
              <w:pStyle w:val="TableContents"/>
              <w:bidi w:val="0"/>
              <w:spacing w:before="0" w:after="283"/>
              <w:jc w:val="left"/>
              <w:rPr/>
            </w:pPr>
            <w:r>
              <w:rPr/>
              <w:t>$</w:t>
            </w:r>
          </w:p>
        </w:tc>
        <w:tc>
          <w:tcPr>
            <w:tcW w:w="1309" w:type="dxa"/>
            <w:tcBorders>
              <w:bottom w:val="double" w:sz="10" w:space="0" w:color="000000"/>
            </w:tcBorders>
            <w:shd w:fill="CCEEFF" w:val="clear"/>
            <w:vAlign w:val="center"/>
          </w:tcPr>
          <w:p>
            <w:pPr>
              <w:pStyle w:val="TableContents"/>
              <w:bidi w:val="0"/>
              <w:spacing w:before="0" w:after="283"/>
              <w:jc w:val="right"/>
              <w:rPr/>
            </w:pPr>
            <w:r>
              <w:rPr/>
              <w:t>14,750,785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bottom w:val="double" w:sz="10" w:space="0" w:color="000000"/>
            </w:tcBorders>
            <w:shd w:fill="CCEEFF" w:val="clear"/>
            <w:vAlign w:val="center"/>
          </w:tcPr>
          <w:p>
            <w:pPr>
              <w:pStyle w:val="TableContents"/>
              <w:bidi w:val="0"/>
              <w:spacing w:before="0" w:after="283"/>
              <w:jc w:val="left"/>
              <w:rPr/>
            </w:pPr>
            <w:r>
              <w:rPr/>
              <w:t>$</w:t>
            </w:r>
          </w:p>
        </w:tc>
        <w:tc>
          <w:tcPr>
            <w:tcW w:w="1217" w:type="dxa"/>
            <w:tcBorders>
              <w:bottom w:val="double" w:sz="10" w:space="0" w:color="000000"/>
            </w:tcBorders>
            <w:shd w:fill="CCEEFF" w:val="clear"/>
            <w:vAlign w:val="center"/>
          </w:tcPr>
          <w:p>
            <w:pPr>
              <w:pStyle w:val="TableContents"/>
              <w:bidi w:val="0"/>
              <w:spacing w:before="0" w:after="283"/>
              <w:jc w:val="right"/>
              <w:rPr/>
            </w:pPr>
            <w:r>
              <w:rPr/>
              <w:t>(235,600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bottom w:val="double" w:sz="10" w:space="0" w:color="000000"/>
            </w:tcBorders>
            <w:shd w:fill="CCEEFF" w:val="clear"/>
            <w:vAlign w:val="center"/>
          </w:tcPr>
          <w:p>
            <w:pPr>
              <w:pStyle w:val="TableContents"/>
              <w:bidi w:val="0"/>
              <w:spacing w:before="0" w:after="283"/>
              <w:jc w:val="left"/>
              <w:rPr/>
            </w:pPr>
            <w:r>
              <w:rPr/>
              <w:t>$</w:t>
            </w:r>
          </w:p>
        </w:tc>
        <w:tc>
          <w:tcPr>
            <w:tcW w:w="812" w:type="dxa"/>
            <w:tcBorders>
              <w:bottom w:val="double" w:sz="10"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1010" w:type="dxa"/>
            <w:tcBorders>
              <w:bottom w:val="double" w:sz="10" w:space="0" w:color="000000"/>
            </w:tcBorders>
            <w:shd w:fill="CCEEFF" w:val="clear"/>
            <w:vAlign w:val="center"/>
          </w:tcPr>
          <w:p>
            <w:pPr>
              <w:pStyle w:val="TableContents"/>
              <w:bidi w:val="0"/>
              <w:spacing w:before="0" w:after="283"/>
              <w:jc w:val="right"/>
              <w:rPr/>
            </w:pPr>
            <w:r>
              <w:rPr/>
              <w:t>7,397,502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1205" w:type="dxa"/>
            <w:tcBorders>
              <w:bottom w:val="double" w:sz="10" w:space="0" w:color="000000"/>
            </w:tcBorders>
            <w:shd w:fill="CCEEFF" w:val="clear"/>
            <w:vAlign w:val="center"/>
          </w:tcPr>
          <w:p>
            <w:pPr>
              <w:pStyle w:val="TableContents"/>
              <w:bidi w:val="0"/>
              <w:spacing w:before="0" w:after="283"/>
              <w:jc w:val="right"/>
              <w:rPr/>
            </w:pPr>
            <w:r>
              <w:rPr/>
              <w:t>(10,320,353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1130" w:type="dxa"/>
            <w:tcBorders>
              <w:bottom w:val="double" w:sz="10" w:space="0" w:color="000000"/>
            </w:tcBorders>
            <w:shd w:fill="CCEEFF" w:val="clear"/>
            <w:vAlign w:val="center"/>
          </w:tcPr>
          <w:p>
            <w:pPr>
              <w:pStyle w:val="TableContents"/>
              <w:bidi w:val="0"/>
              <w:spacing w:before="0" w:after="283"/>
              <w:jc w:val="right"/>
              <w:rPr/>
            </w:pPr>
            <w:r>
              <w:rPr/>
              <w:t>11,592,334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830" w:type="dxa"/>
            <w:tcBorders>
              <w:bottom w:val="double" w:sz="10" w:space="0" w:color="000000"/>
            </w:tcBorders>
            <w:shd w:fill="CCEEFF" w:val="clear"/>
            <w:vAlign w:val="center"/>
          </w:tcPr>
          <w:p>
            <w:pPr>
              <w:pStyle w:val="TableContents"/>
              <w:bidi w:val="0"/>
              <w:spacing w:before="0" w:after="283"/>
              <w:jc w:val="right"/>
              <w:rPr/>
            </w:pPr>
            <w:r>
              <w:rPr/>
              <w:t>254,231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1" w:type="dxa"/>
            <w:tcBorders>
              <w:bottom w:val="double" w:sz="10" w:space="0" w:color="000000"/>
            </w:tcBorders>
            <w:shd w:fill="CCEEFF" w:val="clear"/>
            <w:vAlign w:val="center"/>
          </w:tcPr>
          <w:p>
            <w:pPr>
              <w:pStyle w:val="TableContents"/>
              <w:bidi w:val="0"/>
              <w:spacing w:before="0" w:after="283"/>
              <w:jc w:val="left"/>
              <w:rPr/>
            </w:pPr>
            <w:r>
              <w:rPr/>
              <w:t>$</w:t>
            </w:r>
          </w:p>
        </w:tc>
        <w:tc>
          <w:tcPr>
            <w:tcW w:w="339" w:type="dxa"/>
            <w:tcBorders>
              <w:bottom w:val="double" w:sz="10" w:space="0" w:color="000000"/>
            </w:tcBorders>
            <w:shd w:fill="CCEEFF" w:val="cle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3970" w:type="dxa"/>
        <w:jc w:val="left"/>
        <w:tblInd w:w="0" w:type="dxa"/>
        <w:tblLayout w:type="fixed"/>
        <w:tblCellMar>
          <w:top w:w="0" w:type="dxa"/>
          <w:left w:w="0" w:type="dxa"/>
          <w:bottom w:w="28" w:type="dxa"/>
          <w:right w:w="0" w:type="dxa"/>
        </w:tblCellMar>
      </w:tblPr>
      <w:tblGrid>
        <w:gridCol w:w="1280"/>
        <w:gridCol w:w="90"/>
        <w:gridCol w:w="1175"/>
        <w:gridCol w:w="90"/>
        <w:gridCol w:w="196"/>
        <w:gridCol w:w="1309"/>
        <w:gridCol w:w="90"/>
        <w:gridCol w:w="90"/>
        <w:gridCol w:w="188"/>
        <w:gridCol w:w="1257"/>
        <w:gridCol w:w="125"/>
        <w:gridCol w:w="90"/>
        <w:gridCol w:w="251"/>
        <w:gridCol w:w="894"/>
        <w:gridCol w:w="90"/>
        <w:gridCol w:w="90"/>
        <w:gridCol w:w="170"/>
        <w:gridCol w:w="1085"/>
        <w:gridCol w:w="125"/>
        <w:gridCol w:w="90"/>
        <w:gridCol w:w="530"/>
        <w:gridCol w:w="390"/>
        <w:gridCol w:w="90"/>
        <w:gridCol w:w="90"/>
        <w:gridCol w:w="170"/>
        <w:gridCol w:w="1250"/>
        <w:gridCol w:w="90"/>
        <w:gridCol w:w="90"/>
        <w:gridCol w:w="170"/>
        <w:gridCol w:w="1010"/>
        <w:gridCol w:w="90"/>
        <w:gridCol w:w="90"/>
        <w:gridCol w:w="170"/>
        <w:gridCol w:w="830"/>
        <w:gridCol w:w="135"/>
      </w:tblGrid>
      <w:tr>
        <w:trPr/>
        <w:tc>
          <w:tcPr>
            <w:tcW w:w="1280" w:type="dxa"/>
            <w:tcBorders>
              <w:bottom w:val="single" w:sz="12" w:space="0" w:color="000000"/>
            </w:tcBorders>
            <w:vAlign w:val="center"/>
          </w:tcPr>
          <w:p>
            <w:pPr>
              <w:pStyle w:val="TableContents"/>
              <w:bidi w:val="0"/>
              <w:spacing w:before="0" w:after="283"/>
              <w:jc w:val="left"/>
              <w:rPr>
                <w:b/>
                <w:i w:val="false"/>
                <w:caps w:val="false"/>
                <w:smallCaps w:val="false"/>
              </w:rPr>
            </w:pPr>
            <w:r>
              <w:rPr>
                <w:b/>
                <w:i w:val="false"/>
                <w:caps w:val="false"/>
                <w:smallCaps w:val="false"/>
              </w:rPr>
              <w:t>Name of Investment</w:t>
            </w:r>
            <w:r>
              <w:rPr>
                <w:rFonts w:ascii="Times New Roman;Times;Serif" w:hAnsi="Times New Roman;Times;Serif"/>
                <w:b/>
                <w:i w:val="false"/>
                <w:caps w:val="false"/>
                <w:smallCaps w:val="false"/>
                <w:position w:val="7"/>
                <w:sz w:val="16"/>
                <w:sz w:val="20"/>
              </w:rPr>
              <w:t>(1)(2)</w:t>
            </w:r>
          </w:p>
        </w:tc>
        <w:tc>
          <w:tcPr>
            <w:tcW w:w="9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b/>
              </w:rPr>
            </w:pPr>
            <w:r>
              <w:rPr>
                <w:b/>
              </w:rPr>
              <w:t>Type of Investment</w:t>
            </w:r>
          </w:p>
        </w:tc>
        <w:tc>
          <w:tcPr>
            <w:tcW w:w="90" w:type="dxa"/>
            <w:tcBorders/>
            <w:tcMar>
              <w:bottom w:w="0" w:type="dxa"/>
            </w:tcMar>
            <w:vAlign w:val="center"/>
          </w:tcPr>
          <w:p>
            <w:pPr>
              <w:pStyle w:val="TableContents"/>
              <w:bidi w:val="0"/>
              <w:spacing w:before="0" w:after="283"/>
              <w:jc w:val="left"/>
              <w:rPr/>
            </w:pPr>
            <w:r>
              <w:rPr/>
              <w:t> </w:t>
            </w:r>
          </w:p>
        </w:tc>
        <w:tc>
          <w:tcPr>
            <w:tcW w:w="1505" w:type="dxa"/>
            <w:gridSpan w:val="2"/>
            <w:tcBorders>
              <w:bottom w:val="single" w:sz="12" w:space="0" w:color="000000"/>
            </w:tcBorders>
            <w:vAlign w:val="center"/>
          </w:tcPr>
          <w:p>
            <w:pPr>
              <w:pStyle w:val="TableContents"/>
              <w:bidi w:val="0"/>
              <w:spacing w:before="0" w:after="283"/>
              <w:jc w:val="center"/>
              <w:rPr>
                <w:b/>
              </w:rPr>
            </w:pPr>
            <w:r>
              <w:rPr>
                <w:b/>
              </w:rPr>
              <w:t>Fair Value at September 30, 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Purchases/(Sales)</w:t>
              <w:br/>
              <w:t>of or</w:t>
              <w:br/>
              <w:t>Advances/</w:t>
              <w:br/>
              <w:t>(Distributions)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12" w:space="0" w:color="000000"/>
            </w:tcBorders>
            <w:vAlign w:val="center"/>
          </w:tcPr>
          <w:p>
            <w:pPr>
              <w:pStyle w:val="TableContents"/>
              <w:bidi w:val="0"/>
              <w:spacing w:before="0" w:after="283"/>
              <w:jc w:val="center"/>
              <w:rPr>
                <w:b/>
              </w:rPr>
            </w:pPr>
            <w:r>
              <w:rPr>
                <w:b/>
              </w:rPr>
              <w:t>Transfers In/(Out)</w:t>
              <w:br/>
              <w:t> of Controlled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5" w:type="dxa"/>
            <w:gridSpan w:val="2"/>
            <w:tcBorders>
              <w:bottom w:val="single" w:sz="12" w:space="0" w:color="000000"/>
            </w:tcBorders>
            <w:vAlign w:val="center"/>
          </w:tcPr>
          <w:p>
            <w:pPr>
              <w:pStyle w:val="TableContents"/>
              <w:bidi w:val="0"/>
              <w:spacing w:before="0" w:after="283"/>
              <w:jc w:val="center"/>
              <w:rPr>
                <w:b/>
              </w:rPr>
            </w:pPr>
            <w:r>
              <w:rPr>
                <w:b/>
              </w:rPr>
              <w:t>Unrealized Gain/(Loss)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 xml:space="preserve">Realized </w:t>
              <w:br/>
              <w:t>Gain/(Loss)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0" w:type="dxa"/>
            <w:gridSpan w:val="2"/>
            <w:tcBorders>
              <w:bottom w:val="single" w:sz="12" w:space="0" w:color="000000"/>
            </w:tcBorders>
            <w:vAlign w:val="center"/>
          </w:tcPr>
          <w:p>
            <w:pPr>
              <w:pStyle w:val="TableContents"/>
              <w:bidi w:val="0"/>
              <w:spacing w:before="0" w:after="283"/>
              <w:jc w:val="center"/>
              <w:rPr>
                <w:b/>
              </w:rPr>
            </w:pPr>
            <w:r>
              <w:rPr>
                <w:b/>
              </w:rPr>
              <w:t xml:space="preserve">Fair Value at </w:t>
              <w:br/>
              <w:t>June 30,</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Earned Income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Fee/Other Income</w:t>
            </w:r>
          </w:p>
        </w:tc>
        <w:tc>
          <w:tcPr>
            <w:tcW w:w="135" w:type="dxa"/>
            <w:tcBorders/>
            <w:tcMar>
              <w:bottom w:w="0" w:type="dxa"/>
            </w:tcMar>
            <w:vAlign w:val="center"/>
          </w:tcPr>
          <w:p>
            <w:pPr>
              <w:pStyle w:val="TableContents"/>
              <w:bidi w:val="0"/>
              <w:spacing w:before="0" w:after="283"/>
              <w:jc w:val="left"/>
              <w:rPr/>
            </w:pPr>
            <w:r>
              <w:rPr/>
              <w:t> </w:t>
            </w:r>
          </w:p>
        </w:tc>
      </w:tr>
      <w:tr>
        <w:trPr/>
        <w:tc>
          <w:tcPr>
            <w:tcW w:w="2545" w:type="dxa"/>
            <w:gridSpan w:val="3"/>
            <w:tcBorders/>
            <w:tcMar>
              <w:bottom w:w="0" w:type="dxa"/>
            </w:tcMar>
            <w:vAlign w:val="center"/>
          </w:tcPr>
          <w:p>
            <w:pPr>
              <w:pStyle w:val="TableContents"/>
              <w:bidi w:val="0"/>
              <w:spacing w:before="0" w:after="283"/>
              <w:jc w:val="left"/>
              <w:rPr>
                <w:b/>
              </w:rPr>
            </w:pPr>
            <w:r>
              <w:rPr>
                <w:b/>
              </w:rPr>
              <w:t>Controlled Investments</w:t>
            </w:r>
          </w:p>
        </w:tc>
        <w:tc>
          <w:tcPr>
            <w:tcW w:w="90" w:type="dxa"/>
            <w:tcBorders/>
            <w:tcMar>
              <w:bottom w:w="0" w:type="dxa"/>
            </w:tcMar>
            <w:vAlign w:val="center"/>
          </w:tcPr>
          <w:p>
            <w:pPr>
              <w:pStyle w:val="TableContents"/>
              <w:bidi w:val="0"/>
              <w:spacing w:before="0" w:after="283"/>
              <w:jc w:val="left"/>
              <w:rPr/>
            </w:pPr>
            <w:r>
              <w:rPr/>
              <w:t> </w:t>
            </w:r>
          </w:p>
        </w:tc>
        <w:tc>
          <w:tcPr>
            <w:tcW w:w="150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4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5"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pPr>
            <w:r>
              <w:rPr/>
              <w:t>ECC Capital Corp.</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w:t>
            </w:r>
          </w:p>
        </w:tc>
        <w:tc>
          <w:tcPr>
            <w:tcW w:w="1309" w:type="dxa"/>
            <w:tcBorders/>
            <w:shd w:fill="CCEEFF" w:val="clear"/>
            <w:tcMar>
              <w:bottom w:w="0" w:type="dxa"/>
            </w:tcMar>
            <w:vAlign w:val="center"/>
          </w:tcPr>
          <w:p>
            <w:pPr>
              <w:pStyle w:val="TableContents"/>
              <w:bidi w:val="0"/>
              <w:spacing w:before="0" w:after="283"/>
              <w:jc w:val="right"/>
              <w:rPr/>
            </w:pPr>
            <w:r>
              <w:rPr/>
              <w:t>7,422,012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w:t>
            </w:r>
          </w:p>
        </w:tc>
        <w:tc>
          <w:tcPr>
            <w:tcW w:w="1257"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w:t>
            </w:r>
          </w:p>
        </w:tc>
        <w:tc>
          <w:tcPr>
            <w:tcW w:w="894" w:type="dxa"/>
            <w:tcBorders/>
            <w:shd w:fill="CCEEFF" w:val="clear"/>
            <w:tcMar>
              <w:bottom w:w="0" w:type="dxa"/>
            </w:tcMar>
            <w:vAlign w:val="center"/>
          </w:tcPr>
          <w:p>
            <w:pPr>
              <w:pStyle w:val="TableContents"/>
              <w:bidi w:val="0"/>
              <w:spacing w:before="0" w:after="0"/>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left"/>
              <w:rPr/>
            </w:pPr>
            <w:r>
              <w:rPr/>
              <w:t>$</w:t>
            </w:r>
          </w:p>
        </w:tc>
        <w:tc>
          <w:tcPr>
            <w:tcW w:w="39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50" w:type="dxa"/>
            <w:tcBorders/>
            <w:shd w:fill="CCEEFF" w:val="clear"/>
            <w:tcMar>
              <w:bottom w:w="0" w:type="dxa"/>
            </w:tcMar>
            <w:vAlign w:val="center"/>
          </w:tcPr>
          <w:p>
            <w:pPr>
              <w:pStyle w:val="TableContents"/>
              <w:bidi w:val="0"/>
              <w:spacing w:before="0" w:after="283"/>
              <w:jc w:val="right"/>
              <w:rPr/>
            </w:pPr>
            <w:r>
              <w:rPr/>
              <w:t>7,422,012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538,943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Equity</w:t>
            </w:r>
          </w:p>
        </w:tc>
        <w:tc>
          <w:tcPr>
            <w:tcW w:w="90" w:type="dxa"/>
            <w:tcBorders/>
            <w:tcMar>
              <w:bottom w:w="0" w:type="dxa"/>
            </w:tcMar>
            <w:vAlign w:val="center"/>
          </w:tcPr>
          <w:p>
            <w:pPr>
              <w:pStyle w:val="TableContents"/>
              <w:bidi w:val="0"/>
              <w:spacing w:before="0" w:after="283"/>
              <w:jc w:val="left"/>
              <w:rPr/>
            </w:pPr>
            <w:r>
              <w:rPr/>
              <w:t> </w:t>
            </w:r>
          </w:p>
        </w:tc>
        <w:tc>
          <w:tcPr>
            <w:tcW w:w="196" w:type="dxa"/>
            <w:tcBorders/>
            <w:tcMar>
              <w:bottom w:w="0" w:type="dxa"/>
            </w:tcMar>
            <w:vAlign w:val="center"/>
          </w:tcPr>
          <w:p>
            <w:pPr>
              <w:pStyle w:val="TableContents"/>
              <w:bidi w:val="0"/>
              <w:spacing w:before="0" w:after="283"/>
              <w:jc w:val="left"/>
              <w:rPr/>
            </w:pPr>
            <w:r>
              <w:rPr/>
              <w:t> </w:t>
            </w:r>
          </w:p>
        </w:tc>
        <w:tc>
          <w:tcPr>
            <w:tcW w:w="1309" w:type="dxa"/>
            <w:tcBorders/>
            <w:tcMar>
              <w:bottom w:w="0" w:type="dxa"/>
            </w:tcMar>
            <w:vAlign w:val="center"/>
          </w:tcPr>
          <w:p>
            <w:pPr>
              <w:pStyle w:val="TableContents"/>
              <w:bidi w:val="0"/>
              <w:spacing w:before="0" w:after="283"/>
              <w:jc w:val="right"/>
              <w:rPr/>
            </w:pPr>
            <w:r>
              <w:rPr/>
              <w:t>4,872,000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8" w:type="dxa"/>
            <w:tcBorders/>
            <w:tcMar>
              <w:bottom w:w="0" w:type="dxa"/>
            </w:tcMar>
            <w:vAlign w:val="center"/>
          </w:tcPr>
          <w:p>
            <w:pPr>
              <w:pStyle w:val="TableContents"/>
              <w:bidi w:val="0"/>
              <w:spacing w:before="0" w:after="283"/>
              <w:jc w:val="left"/>
              <w:rPr/>
            </w:pPr>
            <w:r>
              <w:rPr/>
              <w:t> </w:t>
            </w:r>
          </w:p>
        </w:tc>
        <w:tc>
          <w:tcPr>
            <w:tcW w:w="1257"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1" w:type="dxa"/>
            <w:tcBorders/>
            <w:tcMar>
              <w:bottom w:w="0" w:type="dxa"/>
            </w:tcMar>
            <w:vAlign w:val="center"/>
          </w:tcPr>
          <w:p>
            <w:pPr>
              <w:pStyle w:val="TableContents"/>
              <w:bidi w:val="0"/>
              <w:spacing w:before="0" w:after="283"/>
              <w:jc w:val="left"/>
              <w:rPr/>
            </w:pPr>
            <w:r>
              <w:rPr/>
              <w:t> </w:t>
            </w:r>
          </w:p>
        </w:tc>
        <w:tc>
          <w:tcPr>
            <w:tcW w:w="89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pPr>
            <w:r>
              <w:rPr/>
              <w:t>1,596,000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pPr>
            <w:r>
              <w:rPr/>
              <w:t> </w:t>
            </w:r>
          </w:p>
        </w:tc>
        <w:tc>
          <w:tcPr>
            <w:tcW w:w="390"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6,468,000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161,611</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pPr>
            <w:r>
              <w:rPr/>
              <w:t>FlexFIN,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Equity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36,683,045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right"/>
              <w:rPr/>
            </w:pPr>
            <w:r>
              <w:rPr/>
              <w:t>(438,043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36,245,002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3,597,022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80" w:type="dxa"/>
            <w:tcBorders/>
            <w:tcMar>
              <w:bottom w:w="0" w:type="dxa"/>
            </w:tcMar>
            <w:vAlign w:val="center"/>
          </w:tcPr>
          <w:p>
            <w:pPr>
              <w:pStyle w:val="TableContents"/>
              <w:bidi w:val="0"/>
              <w:spacing w:before="0" w:after="283"/>
              <w:jc w:val="left"/>
              <w:rPr/>
            </w:pPr>
            <w:r>
              <w:rPr/>
              <w:t>NSG Captive, Inc.</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Equity</w:t>
            </w:r>
          </w:p>
        </w:tc>
        <w:tc>
          <w:tcPr>
            <w:tcW w:w="90" w:type="dxa"/>
            <w:tcBorders/>
            <w:tcMar>
              <w:bottom w:w="0" w:type="dxa"/>
            </w:tcMar>
            <w:vAlign w:val="center"/>
          </w:tcPr>
          <w:p>
            <w:pPr>
              <w:pStyle w:val="TableContents"/>
              <w:bidi w:val="0"/>
              <w:spacing w:before="0" w:after="283"/>
              <w:jc w:val="left"/>
              <w:rPr/>
            </w:pPr>
            <w:r>
              <w:rPr/>
              <w:t> </w:t>
            </w:r>
          </w:p>
        </w:tc>
        <w:tc>
          <w:tcPr>
            <w:tcW w:w="196" w:type="dxa"/>
            <w:tcBorders/>
            <w:tcMar>
              <w:bottom w:w="0" w:type="dxa"/>
            </w:tcMar>
            <w:vAlign w:val="center"/>
          </w:tcPr>
          <w:p>
            <w:pPr>
              <w:pStyle w:val="TableContents"/>
              <w:bidi w:val="0"/>
              <w:spacing w:before="0" w:after="283"/>
              <w:jc w:val="left"/>
              <w:rPr/>
            </w:pPr>
            <w:r>
              <w:rPr/>
              <w:t> </w:t>
            </w:r>
          </w:p>
        </w:tc>
        <w:tc>
          <w:tcPr>
            <w:tcW w:w="1309" w:type="dxa"/>
            <w:tcBorders/>
            <w:tcMar>
              <w:bottom w:w="0" w:type="dxa"/>
            </w:tcMar>
            <w:vAlign w:val="center"/>
          </w:tcPr>
          <w:p>
            <w:pPr>
              <w:pStyle w:val="TableContents"/>
              <w:bidi w:val="0"/>
              <w:spacing w:before="0" w:after="283"/>
              <w:jc w:val="right"/>
              <w:rPr/>
            </w:pPr>
            <w:r>
              <w:rPr/>
              <w:t>101,000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8" w:type="dxa"/>
            <w:tcBorders/>
            <w:tcMar>
              <w:bottom w:w="0" w:type="dxa"/>
            </w:tcMar>
            <w:vAlign w:val="center"/>
          </w:tcPr>
          <w:p>
            <w:pPr>
              <w:pStyle w:val="TableContents"/>
              <w:bidi w:val="0"/>
              <w:spacing w:before="0" w:after="283"/>
              <w:jc w:val="left"/>
              <w:rPr/>
            </w:pPr>
            <w:r>
              <w:rPr/>
              <w:t> </w:t>
            </w:r>
          </w:p>
        </w:tc>
        <w:tc>
          <w:tcPr>
            <w:tcW w:w="1257" w:type="dxa"/>
            <w:tcBorders/>
            <w:tcMar>
              <w:bottom w:w="0" w:type="dxa"/>
            </w:tcMar>
            <w:vAlign w:val="center"/>
          </w:tcPr>
          <w:p>
            <w:pPr>
              <w:pStyle w:val="TableContents"/>
              <w:bidi w:val="0"/>
              <w:spacing w:before="0" w:after="283"/>
              <w:jc w:val="right"/>
              <w:rPr/>
            </w:pPr>
            <w:r>
              <w:rPr/>
              <w:t>49,154,076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1" w:type="dxa"/>
            <w:tcBorders/>
            <w:tcMar>
              <w:bottom w:w="0" w:type="dxa"/>
            </w:tcMar>
            <w:vAlign w:val="center"/>
          </w:tcPr>
          <w:p>
            <w:pPr>
              <w:pStyle w:val="TableContents"/>
              <w:bidi w:val="0"/>
              <w:spacing w:before="0" w:after="283"/>
              <w:jc w:val="left"/>
              <w:rPr/>
            </w:pPr>
            <w:r>
              <w:rPr/>
              <w:t> </w:t>
            </w:r>
          </w:p>
        </w:tc>
        <w:tc>
          <w:tcPr>
            <w:tcW w:w="89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pPr>
            <w:r>
              <w:rPr/>
              <w:t>(826,575</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pPr>
            <w:r>
              <w:rPr/>
              <w:t> </w:t>
            </w:r>
          </w:p>
        </w:tc>
        <w:tc>
          <w:tcPr>
            <w:tcW w:w="390"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48,428,501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391,271</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pPr>
            <w:r>
              <w:rPr/>
              <w:t>NVTN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Delayed Draw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5,500,000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right"/>
              <w:rPr/>
            </w:pPr>
            <w:r>
              <w:rPr/>
              <w:t>4,700,000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10,200,000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575,494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Senior Secured First Lien Term Loan B</w:t>
            </w:r>
          </w:p>
        </w:tc>
        <w:tc>
          <w:tcPr>
            <w:tcW w:w="90" w:type="dxa"/>
            <w:tcBorders/>
            <w:tcMar>
              <w:bottom w:w="0" w:type="dxa"/>
            </w:tcMar>
            <w:vAlign w:val="center"/>
          </w:tcPr>
          <w:p>
            <w:pPr>
              <w:pStyle w:val="TableContents"/>
              <w:bidi w:val="0"/>
              <w:spacing w:before="0" w:after="283"/>
              <w:jc w:val="left"/>
              <w:rPr/>
            </w:pPr>
            <w:r>
              <w:rPr/>
              <w:t> </w:t>
            </w:r>
          </w:p>
        </w:tc>
        <w:tc>
          <w:tcPr>
            <w:tcW w:w="196" w:type="dxa"/>
            <w:tcBorders>
              <w:bottom w:val="single" w:sz="12" w:space="0" w:color="000000"/>
            </w:tcBorders>
            <w:vAlign w:val="center"/>
          </w:tcPr>
          <w:p>
            <w:pPr>
              <w:pStyle w:val="TableContents"/>
              <w:bidi w:val="0"/>
              <w:spacing w:before="0" w:after="283"/>
              <w:jc w:val="left"/>
              <w:rPr/>
            </w:pPr>
            <w:r>
              <w:rPr/>
              <w:t> </w:t>
            </w:r>
          </w:p>
        </w:tc>
        <w:tc>
          <w:tcPr>
            <w:tcW w:w="1309" w:type="dxa"/>
            <w:tcBorders>
              <w:bottom w:val="single" w:sz="12" w:space="0" w:color="000000"/>
            </w:tcBorders>
            <w:vAlign w:val="center"/>
          </w:tcPr>
          <w:p>
            <w:pPr>
              <w:pStyle w:val="TableContents"/>
              <w:bidi w:val="0"/>
              <w:spacing w:before="0" w:after="283"/>
              <w:jc w:val="right"/>
              <w:rPr/>
            </w:pPr>
            <w:r>
              <w:rPr/>
              <w:t>16,353,590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8" w:type="dxa"/>
            <w:tcBorders>
              <w:bottom w:val="single" w:sz="12" w:space="0" w:color="000000"/>
            </w:tcBorders>
            <w:vAlign w:val="center"/>
          </w:tcPr>
          <w:p>
            <w:pPr>
              <w:pStyle w:val="TableContents"/>
              <w:bidi w:val="0"/>
              <w:spacing w:before="0" w:after="283"/>
              <w:jc w:val="left"/>
              <w:rPr/>
            </w:pPr>
            <w:r>
              <w:rPr/>
              <w:t> </w:t>
            </w:r>
          </w:p>
        </w:tc>
        <w:tc>
          <w:tcPr>
            <w:tcW w:w="1257" w:type="dxa"/>
            <w:tcBorders>
              <w:bottom w:val="single" w:sz="12"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1" w:type="dxa"/>
            <w:tcBorders>
              <w:bottom w:val="single" w:sz="12" w:space="0" w:color="000000"/>
            </w:tcBorders>
            <w:vAlign w:val="center"/>
          </w:tcPr>
          <w:p>
            <w:pPr>
              <w:pStyle w:val="TableContents"/>
              <w:bidi w:val="0"/>
              <w:spacing w:before="0" w:after="283"/>
              <w:jc w:val="left"/>
              <w:rPr/>
            </w:pPr>
            <w:r>
              <w:rPr/>
              <w:t> </w:t>
            </w:r>
          </w:p>
        </w:tc>
        <w:tc>
          <w:tcPr>
            <w:tcW w:w="894" w:type="dxa"/>
            <w:tcBorders>
              <w:bottom w:val="single" w:sz="12"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85" w:type="dxa"/>
            <w:tcBorders>
              <w:bottom w:val="single" w:sz="12" w:space="0" w:color="000000"/>
            </w:tcBorders>
            <w:vAlign w:val="center"/>
          </w:tcPr>
          <w:p>
            <w:pPr>
              <w:pStyle w:val="TableContents"/>
              <w:bidi w:val="0"/>
              <w:spacing w:before="0" w:after="283"/>
              <w:jc w:val="right"/>
              <w:rPr/>
            </w:pPr>
            <w:r>
              <w:rPr/>
              <w:t>(1,662,214</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530" w:type="dxa"/>
            <w:tcBorders>
              <w:bottom w:val="single" w:sz="12" w:space="0" w:color="000000"/>
            </w:tcBorders>
            <w:vAlign w:val="center"/>
          </w:tcPr>
          <w:p>
            <w:pPr>
              <w:pStyle w:val="TableContents"/>
              <w:bidi w:val="0"/>
              <w:spacing w:before="0" w:after="283"/>
              <w:jc w:val="left"/>
              <w:rPr/>
            </w:pPr>
            <w:r>
              <w:rPr/>
              <w:t> </w:t>
            </w:r>
          </w:p>
        </w:tc>
        <w:tc>
          <w:tcPr>
            <w:tcW w:w="390" w:type="dxa"/>
            <w:tcBorders>
              <w:bottom w:val="single" w:sz="12"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283"/>
              <w:jc w:val="right"/>
              <w:rPr/>
            </w:pPr>
            <w:r>
              <w:rPr/>
              <w:t>14,691,376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708,477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0"/>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b/>
              </w:rPr>
            </w:pPr>
            <w:r>
              <w:rPr>
                <w:b/>
              </w:rPr>
              <w:t>Total Controlled Investments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bottom w:val="double" w:sz="10" w:space="0" w:color="000000"/>
            </w:tcBorders>
            <w:shd w:fill="CCEEFF" w:val="clear"/>
            <w:vAlign w:val="center"/>
          </w:tcPr>
          <w:p>
            <w:pPr>
              <w:pStyle w:val="TableContents"/>
              <w:bidi w:val="0"/>
              <w:spacing w:before="0" w:after="283"/>
              <w:jc w:val="left"/>
              <w:rPr/>
            </w:pPr>
            <w:r>
              <w:rPr/>
              <w:t>$</w:t>
            </w:r>
          </w:p>
        </w:tc>
        <w:tc>
          <w:tcPr>
            <w:tcW w:w="1309" w:type="dxa"/>
            <w:tcBorders>
              <w:bottom w:val="double" w:sz="10" w:space="0" w:color="000000"/>
            </w:tcBorders>
            <w:shd w:fill="CCEEFF" w:val="clear"/>
            <w:vAlign w:val="center"/>
          </w:tcPr>
          <w:p>
            <w:pPr>
              <w:pStyle w:val="TableContents"/>
              <w:bidi w:val="0"/>
              <w:spacing w:before="0" w:after="283"/>
              <w:jc w:val="right"/>
              <w:rPr/>
            </w:pPr>
            <w:r>
              <w:rPr/>
              <w:t>70,931,647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double" w:sz="10" w:space="0" w:color="000000"/>
            </w:tcBorders>
            <w:shd w:fill="CCEEFF" w:val="clear"/>
            <w:vAlign w:val="center"/>
          </w:tcPr>
          <w:p>
            <w:pPr>
              <w:pStyle w:val="TableContents"/>
              <w:bidi w:val="0"/>
              <w:spacing w:before="0" w:after="283"/>
              <w:jc w:val="left"/>
              <w:rPr/>
            </w:pPr>
            <w:r>
              <w:rPr/>
              <w:t>$</w:t>
            </w:r>
          </w:p>
        </w:tc>
        <w:tc>
          <w:tcPr>
            <w:tcW w:w="1257" w:type="dxa"/>
            <w:tcBorders>
              <w:bottom w:val="double" w:sz="10" w:space="0" w:color="000000"/>
            </w:tcBorders>
            <w:shd w:fill="CCEEFF" w:val="clear"/>
            <w:vAlign w:val="center"/>
          </w:tcPr>
          <w:p>
            <w:pPr>
              <w:pStyle w:val="TableContents"/>
              <w:bidi w:val="0"/>
              <w:spacing w:before="0" w:after="283"/>
              <w:jc w:val="right"/>
              <w:rPr/>
            </w:pPr>
            <w:r>
              <w:rPr/>
              <w:t>53,416,033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1" w:type="dxa"/>
            <w:tcBorders>
              <w:bottom w:val="double" w:sz="10" w:space="0" w:color="000000"/>
            </w:tcBorders>
            <w:shd w:fill="CCEEFF" w:val="clear"/>
            <w:vAlign w:val="center"/>
          </w:tcPr>
          <w:p>
            <w:pPr>
              <w:pStyle w:val="TableContents"/>
              <w:bidi w:val="0"/>
              <w:spacing w:before="0" w:after="283"/>
              <w:jc w:val="left"/>
              <w:rPr/>
            </w:pPr>
            <w:r>
              <w:rPr/>
              <w:t>$</w:t>
            </w:r>
          </w:p>
        </w:tc>
        <w:tc>
          <w:tcPr>
            <w:tcW w:w="894" w:type="dxa"/>
            <w:tcBorders>
              <w:bottom w:val="double" w:sz="10"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1085" w:type="dxa"/>
            <w:tcBorders>
              <w:bottom w:val="double" w:sz="10" w:space="0" w:color="000000"/>
            </w:tcBorders>
            <w:shd w:fill="CCEEFF" w:val="clear"/>
            <w:vAlign w:val="center"/>
          </w:tcPr>
          <w:p>
            <w:pPr>
              <w:pStyle w:val="TableContents"/>
              <w:bidi w:val="0"/>
              <w:spacing w:before="0" w:after="283"/>
              <w:jc w:val="right"/>
              <w:rPr/>
            </w:pPr>
            <w:r>
              <w:rPr/>
              <w:t>(892,789</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bottom w:val="double" w:sz="10" w:space="0" w:color="000000"/>
            </w:tcBorders>
            <w:shd w:fill="CCEEFF" w:val="clear"/>
            <w:vAlign w:val="center"/>
          </w:tcPr>
          <w:p>
            <w:pPr>
              <w:pStyle w:val="TableContents"/>
              <w:bidi w:val="0"/>
              <w:spacing w:before="0" w:after="283"/>
              <w:jc w:val="left"/>
              <w:rPr/>
            </w:pPr>
            <w:r>
              <w:rPr/>
              <w:t>$</w:t>
            </w:r>
          </w:p>
        </w:tc>
        <w:tc>
          <w:tcPr>
            <w:tcW w:w="390" w:type="dxa"/>
            <w:tcBorders>
              <w:bottom w:val="double" w:sz="10"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1250" w:type="dxa"/>
            <w:tcBorders>
              <w:bottom w:val="double" w:sz="10" w:space="0" w:color="000000"/>
            </w:tcBorders>
            <w:shd w:fill="CCEEFF" w:val="clear"/>
            <w:vAlign w:val="center"/>
          </w:tcPr>
          <w:p>
            <w:pPr>
              <w:pStyle w:val="TableContents"/>
              <w:bidi w:val="0"/>
              <w:spacing w:before="0" w:after="283"/>
              <w:jc w:val="right"/>
              <w:rPr/>
            </w:pPr>
            <w:r>
              <w:rPr/>
              <w:t>123,454,891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1010" w:type="dxa"/>
            <w:tcBorders>
              <w:bottom w:val="double" w:sz="10" w:space="0" w:color="000000"/>
            </w:tcBorders>
            <w:shd w:fill="CCEEFF" w:val="clear"/>
            <w:vAlign w:val="center"/>
          </w:tcPr>
          <w:p>
            <w:pPr>
              <w:pStyle w:val="TableContents"/>
              <w:bidi w:val="0"/>
              <w:spacing w:before="0" w:after="283"/>
              <w:jc w:val="right"/>
              <w:rPr/>
            </w:pPr>
            <w:r>
              <w:rPr/>
              <w:t>5,419,936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830" w:type="dxa"/>
            <w:tcBorders>
              <w:bottom w:val="double" w:sz="10" w:space="0" w:color="000000"/>
            </w:tcBorders>
            <w:shd w:fill="CCEEFF" w:val="clear"/>
            <w:vAlign w:val="center"/>
          </w:tcPr>
          <w:p>
            <w:pPr>
              <w:pStyle w:val="TableContents"/>
              <w:bidi w:val="0"/>
              <w:spacing w:before="0" w:after="283"/>
              <w:jc w:val="right"/>
              <w:rPr/>
            </w:pPr>
            <w:r>
              <w:rPr/>
              <w:t>552,882</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290"/>
        <w:gridCol w:w="776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 amount and additional detail are shown in the Consolidated Schedules of Investments.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pPr>
            <w:r>
              <w:rPr/>
              <w:t>(2)</w:t>
            </w:r>
          </w:p>
        </w:tc>
        <w:tc>
          <w:tcPr>
            <w:tcW w:w="9894" w:type="dxa"/>
            <w:tcBorders/>
            <w:vAlign w:val="center"/>
          </w:tcPr>
          <w:p>
            <w:pPr>
              <w:pStyle w:val="TableContents"/>
              <w:bidi w:val="0"/>
              <w:spacing w:before="0" w:after="283"/>
              <w:jc w:val="both"/>
              <w:rPr/>
            </w:pPr>
            <w:r>
              <w:rPr/>
              <w:t>Securities with a zero value at the beginning and end of the period, and those that had no transaction activity were excluded from the roll forward.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3. Investments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Purchases/(sales) of or advances to/(distributions) from Affiliated Investments and Controlled Investments represent the proceeds from sales and settlements of investments, purchases, originations and participations, investment increases due to PIK interest as well as net amortization of premium/(discount) on investments and are included in the purchases and sales presented on the Consolidated Statements of Cash Flows for the nine months ended June 30, 2026 and 2025. Transfers in/(out) of Affiliated Investments and Controlled Investments represent the fair value for the quarter in which an investment became or was removed as an Affiliated Investment or a Controlled Investment. Income received from Affiliated Investments and Controlled Investments is included in total investment income on the Consolidated Statements of Operations for the three and nine months ended June 30, 2026 and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Unconsolidated Significant Subsidiaries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determine which, if any, of our unconsolidated controlled portfolio companies is a “significant subsidiary” within the meaning of Regulation S-X. We have evaluated and determined that, as of June 30, 2026, three portfolio companies, FlexFIN LLC, NVTN LLC, and NSG Captive Inc., triggered at least one of the significance tests, and as of June 30, 2025, one portfolio company, FlexFIN LLC, triggered at least one of the significance tests. Below is certain selected key financial data from FlexFIN LLC’s, NVTN LLC’s, and NSG Captive Inc.’s income statements for the periods in which our investment exceeded the threshold for at least one of the tests (dollars in thousands):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17"/>
        <w:gridCol w:w="90"/>
        <w:gridCol w:w="384"/>
        <w:gridCol w:w="1604"/>
        <w:gridCol w:w="90"/>
        <w:gridCol w:w="90"/>
        <w:gridCol w:w="440"/>
        <w:gridCol w:w="1537"/>
        <w:gridCol w:w="90"/>
        <w:gridCol w:w="90"/>
        <w:gridCol w:w="363"/>
        <w:gridCol w:w="1519"/>
        <w:gridCol w:w="90"/>
        <w:gridCol w:w="90"/>
        <w:gridCol w:w="417"/>
        <w:gridCol w:w="1455"/>
        <w:gridCol w:w="139"/>
      </w:tblGrid>
      <w:tr>
        <w:trPr/>
        <w:tc>
          <w:tcPr>
            <w:tcW w:w="1717" w:type="dxa"/>
            <w:tcBorders>
              <w:bottom w:val="single" w:sz="12" w:space="0" w:color="000000"/>
            </w:tcBorders>
            <w:vAlign w:val="center"/>
          </w:tcPr>
          <w:p>
            <w:pPr>
              <w:pStyle w:val="TableContents"/>
              <w:bidi w:val="0"/>
              <w:spacing w:before="0" w:after="283"/>
              <w:jc w:val="left"/>
              <w:rPr>
                <w:b/>
              </w:rPr>
            </w:pPr>
            <w:r>
              <w:rPr>
                <w:b/>
              </w:rPr>
              <w:t>Income Statement</w:t>
            </w:r>
          </w:p>
        </w:tc>
        <w:tc>
          <w:tcPr>
            <w:tcW w:w="90" w:type="dxa"/>
            <w:tcBorders/>
            <w:tcMar>
              <w:bottom w:w="0" w:type="dxa"/>
            </w:tcMar>
            <w:vAlign w:val="center"/>
          </w:tcPr>
          <w:p>
            <w:pPr>
              <w:pStyle w:val="TableContents"/>
              <w:bidi w:val="0"/>
              <w:spacing w:before="0" w:after="283"/>
              <w:jc w:val="left"/>
              <w:rPr/>
            </w:pPr>
            <w:r>
              <w:rPr/>
              <w:t> </w:t>
            </w:r>
          </w:p>
        </w:tc>
        <w:tc>
          <w:tcPr>
            <w:tcW w:w="1988" w:type="dxa"/>
            <w:gridSpan w:val="2"/>
            <w:tcBorders>
              <w:bottom w:val="single" w:sz="12" w:space="0" w:color="000000"/>
            </w:tcBorders>
            <w:vAlign w:val="center"/>
          </w:tcPr>
          <w:p>
            <w:pPr>
              <w:pStyle w:val="TableContents"/>
              <w:bidi w:val="0"/>
              <w:spacing w:before="0" w:after="283"/>
              <w:jc w:val="center"/>
              <w:rPr>
                <w:b/>
              </w:rPr>
            </w:pPr>
            <w:r>
              <w:rPr>
                <w:b/>
              </w:rPr>
              <w:t xml:space="preserve">For the </w:t>
              <w:br/>
              <w:t xml:space="preserve">Three Months Ended </w:t>
              <w:br/>
              <w:t>June 30,</w:t>
              <w:b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77" w:type="dxa"/>
            <w:gridSpan w:val="2"/>
            <w:tcBorders>
              <w:bottom w:val="single" w:sz="12" w:space="0" w:color="000000"/>
            </w:tcBorders>
            <w:vAlign w:val="center"/>
          </w:tcPr>
          <w:p>
            <w:pPr>
              <w:pStyle w:val="TableContents"/>
              <w:bidi w:val="0"/>
              <w:spacing w:before="0" w:after="283"/>
              <w:jc w:val="center"/>
              <w:rPr>
                <w:b/>
              </w:rPr>
            </w:pPr>
            <w:r>
              <w:rPr>
                <w:b/>
              </w:rPr>
              <w:t xml:space="preserve">For the </w:t>
              <w:br/>
              <w:t xml:space="preserve">Three Months Ended </w:t>
              <w:br/>
              <w:t>June 30,</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82" w:type="dxa"/>
            <w:gridSpan w:val="2"/>
            <w:tcBorders>
              <w:bottom w:val="single" w:sz="12" w:space="0" w:color="000000"/>
            </w:tcBorders>
            <w:vAlign w:val="center"/>
          </w:tcPr>
          <w:p>
            <w:pPr>
              <w:pStyle w:val="TableContents"/>
              <w:bidi w:val="0"/>
              <w:spacing w:before="0" w:after="283"/>
              <w:jc w:val="center"/>
              <w:rPr>
                <w:b/>
              </w:rPr>
            </w:pPr>
            <w:r>
              <w:rPr>
                <w:b/>
              </w:rPr>
              <w:t xml:space="preserve">For the </w:t>
              <w:br/>
              <w:t xml:space="preserve">Nine Months Ended </w:t>
              <w:br/>
              <w:t>June 30,</w:t>
              <w:b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72" w:type="dxa"/>
            <w:gridSpan w:val="2"/>
            <w:tcBorders>
              <w:bottom w:val="single" w:sz="12" w:space="0" w:color="000000"/>
            </w:tcBorders>
            <w:vAlign w:val="center"/>
          </w:tcPr>
          <w:p>
            <w:pPr>
              <w:pStyle w:val="TableContents"/>
              <w:bidi w:val="0"/>
              <w:spacing w:before="0" w:after="283"/>
              <w:jc w:val="center"/>
              <w:rPr>
                <w:b/>
              </w:rPr>
            </w:pPr>
            <w:r>
              <w:rPr>
                <w:b/>
              </w:rPr>
              <w:t xml:space="preserve">For the </w:t>
              <w:br/>
              <w:t xml:space="preserve">Nine Months Ended </w:t>
              <w:br/>
              <w:t>June 30,</w:t>
              <w:br/>
              <w:t>2025</w:t>
            </w:r>
          </w:p>
        </w:tc>
        <w:tc>
          <w:tcPr>
            <w:tcW w:w="139" w:type="dxa"/>
            <w:tcBorders/>
            <w:tcMar>
              <w:bottom w:w="0" w:type="dxa"/>
            </w:tcMar>
            <w:vAlign w:val="center"/>
          </w:tcPr>
          <w:p>
            <w:pPr>
              <w:pStyle w:val="TableContents"/>
              <w:bidi w:val="0"/>
              <w:spacing w:before="0" w:after="283"/>
              <w:jc w:val="left"/>
              <w:rPr/>
            </w:pPr>
            <w:r>
              <w:rPr/>
              <w:t> </w:t>
            </w:r>
          </w:p>
        </w:tc>
      </w:tr>
      <w:tr>
        <w:trPr/>
        <w:tc>
          <w:tcPr>
            <w:tcW w:w="1717" w:type="dxa"/>
            <w:tcBorders/>
            <w:shd w:fill="CCEEFF" w:val="clear"/>
            <w:tcMar>
              <w:bottom w:w="0" w:type="dxa"/>
            </w:tcMar>
            <w:vAlign w:val="center"/>
          </w:tcPr>
          <w:p>
            <w:pPr>
              <w:pStyle w:val="TableContents"/>
              <w:bidi w:val="0"/>
              <w:spacing w:before="0" w:after="283"/>
              <w:jc w:val="left"/>
              <w:rPr/>
            </w:pPr>
            <w:r>
              <w:rPr/>
              <w:t>Total Income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4" w:type="dxa"/>
            <w:tcBorders/>
            <w:shd w:fill="CCEEFF" w:val="clear"/>
            <w:tcMar>
              <w:bottom w:w="0" w:type="dxa"/>
            </w:tcMar>
            <w:vAlign w:val="center"/>
          </w:tcPr>
          <w:p>
            <w:pPr>
              <w:pStyle w:val="TableContents"/>
              <w:bidi w:val="0"/>
              <w:spacing w:before="0" w:after="283"/>
              <w:jc w:val="left"/>
              <w:rPr/>
            </w:pPr>
            <w:r>
              <w:rPr/>
              <w:t>$</w:t>
            </w:r>
          </w:p>
        </w:tc>
        <w:tc>
          <w:tcPr>
            <w:tcW w:w="1604" w:type="dxa"/>
            <w:tcBorders/>
            <w:shd w:fill="CCEEFF" w:val="clear"/>
            <w:tcMar>
              <w:bottom w:w="0" w:type="dxa"/>
            </w:tcMar>
            <w:vAlign w:val="center"/>
          </w:tcPr>
          <w:p>
            <w:pPr>
              <w:pStyle w:val="TableContents"/>
              <w:bidi w:val="0"/>
              <w:spacing w:before="0" w:after="283"/>
              <w:jc w:val="right"/>
              <w:rPr/>
            </w:pPr>
            <w:r>
              <w:rPr/>
              <w:t>33,624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pPr>
            <w:r>
              <w:rPr/>
              <w:t>$</w:t>
            </w:r>
          </w:p>
        </w:tc>
        <w:tc>
          <w:tcPr>
            <w:tcW w:w="1537" w:type="dxa"/>
            <w:tcBorders/>
            <w:shd w:fill="CCEEFF" w:val="clear"/>
            <w:tcMar>
              <w:bottom w:w="0" w:type="dxa"/>
            </w:tcMar>
            <w:vAlign w:val="center"/>
          </w:tcPr>
          <w:p>
            <w:pPr>
              <w:pStyle w:val="TableContents"/>
              <w:bidi w:val="0"/>
              <w:spacing w:before="0" w:after="283"/>
              <w:jc w:val="right"/>
              <w:rPr/>
            </w:pPr>
            <w:r>
              <w:rPr/>
              <w:t>1,245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pPr>
            <w:r>
              <w:rPr/>
              <w:t>$</w:t>
            </w:r>
          </w:p>
        </w:tc>
        <w:tc>
          <w:tcPr>
            <w:tcW w:w="1519" w:type="dxa"/>
            <w:tcBorders/>
            <w:shd w:fill="CCEEFF" w:val="clear"/>
            <w:tcMar>
              <w:bottom w:w="0" w:type="dxa"/>
            </w:tcMar>
            <w:vAlign w:val="center"/>
          </w:tcPr>
          <w:p>
            <w:pPr>
              <w:pStyle w:val="TableContents"/>
              <w:bidi w:val="0"/>
              <w:spacing w:before="0" w:after="283"/>
              <w:jc w:val="right"/>
              <w:rPr/>
            </w:pPr>
            <w:r>
              <w:rPr/>
              <w:t>87,328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7" w:type="dxa"/>
            <w:tcBorders/>
            <w:shd w:fill="CCEEFF" w:val="clear"/>
            <w:tcMar>
              <w:bottom w:w="0" w:type="dxa"/>
            </w:tcMar>
            <w:vAlign w:val="center"/>
          </w:tcPr>
          <w:p>
            <w:pPr>
              <w:pStyle w:val="TableContents"/>
              <w:bidi w:val="0"/>
              <w:spacing w:before="0" w:after="283"/>
              <w:jc w:val="left"/>
              <w:rPr/>
            </w:pPr>
            <w:r>
              <w:rPr/>
              <w:t>$</w:t>
            </w:r>
          </w:p>
        </w:tc>
        <w:tc>
          <w:tcPr>
            <w:tcW w:w="1455" w:type="dxa"/>
            <w:tcBorders/>
            <w:shd w:fill="CCEEFF" w:val="clear"/>
            <w:tcMar>
              <w:bottom w:w="0" w:type="dxa"/>
            </w:tcMar>
            <w:vAlign w:val="center"/>
          </w:tcPr>
          <w:p>
            <w:pPr>
              <w:pStyle w:val="TableContents"/>
              <w:bidi w:val="0"/>
              <w:spacing w:before="0" w:after="283"/>
              <w:jc w:val="right"/>
              <w:rPr/>
            </w:pPr>
            <w:r>
              <w:rPr/>
              <w:t>4,837</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717" w:type="dxa"/>
            <w:tcBorders/>
            <w:tcMar>
              <w:bottom w:w="0" w:type="dxa"/>
            </w:tcMar>
            <w:vAlign w:val="center"/>
          </w:tcPr>
          <w:p>
            <w:pPr>
              <w:pStyle w:val="TableContents"/>
              <w:bidi w:val="0"/>
              <w:spacing w:before="0" w:after="283"/>
              <w:jc w:val="left"/>
              <w:rPr/>
            </w:pPr>
            <w:r>
              <w:rPr/>
              <w:t>Total Expenses</w:t>
            </w:r>
          </w:p>
        </w:tc>
        <w:tc>
          <w:tcPr>
            <w:tcW w:w="90" w:type="dxa"/>
            <w:tcBorders/>
            <w:tcMar>
              <w:bottom w:w="0" w:type="dxa"/>
            </w:tcMar>
            <w:vAlign w:val="center"/>
          </w:tcPr>
          <w:p>
            <w:pPr>
              <w:pStyle w:val="TableContents"/>
              <w:bidi w:val="0"/>
              <w:spacing w:before="0" w:after="283"/>
              <w:jc w:val="left"/>
              <w:rPr/>
            </w:pPr>
            <w:r>
              <w:rPr/>
              <w:t> </w:t>
            </w:r>
          </w:p>
        </w:tc>
        <w:tc>
          <w:tcPr>
            <w:tcW w:w="384" w:type="dxa"/>
            <w:tcBorders/>
            <w:tcMar>
              <w:bottom w:w="0" w:type="dxa"/>
            </w:tcMar>
            <w:vAlign w:val="center"/>
          </w:tcPr>
          <w:p>
            <w:pPr>
              <w:pStyle w:val="TableContents"/>
              <w:bidi w:val="0"/>
              <w:spacing w:before="0" w:after="283"/>
              <w:jc w:val="left"/>
              <w:rPr/>
            </w:pPr>
            <w:r>
              <w:rPr/>
              <w:t> </w:t>
            </w:r>
          </w:p>
        </w:tc>
        <w:tc>
          <w:tcPr>
            <w:tcW w:w="1604" w:type="dxa"/>
            <w:tcBorders/>
            <w:tcMar>
              <w:bottom w:w="0" w:type="dxa"/>
            </w:tcMar>
            <w:vAlign w:val="center"/>
          </w:tcPr>
          <w:p>
            <w:pPr>
              <w:pStyle w:val="TableContents"/>
              <w:bidi w:val="0"/>
              <w:spacing w:before="0" w:after="283"/>
              <w:jc w:val="right"/>
              <w:rPr/>
            </w:pPr>
            <w:r>
              <w:rPr/>
              <w:t>30,223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left"/>
              <w:rPr/>
            </w:pPr>
            <w:r>
              <w:rPr/>
              <w:t> </w:t>
            </w:r>
          </w:p>
        </w:tc>
        <w:tc>
          <w:tcPr>
            <w:tcW w:w="1537" w:type="dxa"/>
            <w:tcBorders/>
            <w:tcMar>
              <w:bottom w:w="0" w:type="dxa"/>
            </w:tcMar>
            <w:vAlign w:val="center"/>
          </w:tcPr>
          <w:p>
            <w:pPr>
              <w:pStyle w:val="TableContents"/>
              <w:bidi w:val="0"/>
              <w:spacing w:before="0" w:after="283"/>
              <w:jc w:val="right"/>
              <w:rPr/>
            </w:pPr>
            <w:r>
              <w:rPr/>
              <w:t>500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63" w:type="dxa"/>
            <w:tcBorders/>
            <w:tcMar>
              <w:bottom w:w="0" w:type="dxa"/>
            </w:tcMar>
            <w:vAlign w:val="center"/>
          </w:tcPr>
          <w:p>
            <w:pPr>
              <w:pStyle w:val="TableContents"/>
              <w:bidi w:val="0"/>
              <w:spacing w:before="0" w:after="283"/>
              <w:jc w:val="left"/>
              <w:rPr/>
            </w:pPr>
            <w:r>
              <w:rPr/>
              <w:t> </w:t>
            </w:r>
          </w:p>
        </w:tc>
        <w:tc>
          <w:tcPr>
            <w:tcW w:w="1519" w:type="dxa"/>
            <w:tcBorders/>
            <w:tcMar>
              <w:bottom w:w="0" w:type="dxa"/>
            </w:tcMar>
            <w:vAlign w:val="center"/>
          </w:tcPr>
          <w:p>
            <w:pPr>
              <w:pStyle w:val="TableContents"/>
              <w:bidi w:val="0"/>
              <w:spacing w:before="0" w:after="283"/>
              <w:jc w:val="right"/>
              <w:rPr/>
            </w:pPr>
            <w:r>
              <w:rPr/>
              <w:t>81,861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7" w:type="dxa"/>
            <w:tcBorders/>
            <w:tcMar>
              <w:bottom w:w="0" w:type="dxa"/>
            </w:tcMar>
            <w:vAlign w:val="center"/>
          </w:tcPr>
          <w:p>
            <w:pPr>
              <w:pStyle w:val="TableContents"/>
              <w:bidi w:val="0"/>
              <w:spacing w:before="0" w:after="283"/>
              <w:jc w:val="left"/>
              <w:rPr/>
            </w:pPr>
            <w:r>
              <w:rPr/>
              <w:t> </w:t>
            </w:r>
          </w:p>
        </w:tc>
        <w:tc>
          <w:tcPr>
            <w:tcW w:w="1455" w:type="dxa"/>
            <w:tcBorders/>
            <w:tcMar>
              <w:bottom w:w="0" w:type="dxa"/>
            </w:tcMar>
            <w:vAlign w:val="center"/>
          </w:tcPr>
          <w:p>
            <w:pPr>
              <w:pStyle w:val="TableContents"/>
              <w:bidi w:val="0"/>
              <w:spacing w:before="0" w:after="283"/>
              <w:jc w:val="right"/>
              <w:rPr/>
            </w:pPr>
            <w:r>
              <w:rPr/>
              <w:t>1,399</w:t>
            </w:r>
          </w:p>
        </w:tc>
        <w:tc>
          <w:tcPr>
            <w:tcW w:w="139" w:type="dxa"/>
            <w:tcBorders/>
            <w:tcMar>
              <w:bottom w:w="0" w:type="dxa"/>
            </w:tcMar>
            <w:vAlign w:val="center"/>
          </w:tcPr>
          <w:p>
            <w:pPr>
              <w:pStyle w:val="TableContents"/>
              <w:bidi w:val="0"/>
              <w:spacing w:before="0" w:after="283"/>
              <w:jc w:val="left"/>
              <w:rPr/>
            </w:pPr>
            <w:r>
              <w:rPr/>
              <w:t> </w:t>
            </w:r>
          </w:p>
        </w:tc>
      </w:tr>
      <w:tr>
        <w:trPr/>
        <w:tc>
          <w:tcPr>
            <w:tcW w:w="1717" w:type="dxa"/>
            <w:tcBorders/>
            <w:shd w:fill="CCEEFF" w:val="clear"/>
            <w:tcMar>
              <w:bottom w:w="0" w:type="dxa"/>
            </w:tcMar>
            <w:vAlign w:val="center"/>
          </w:tcPr>
          <w:p>
            <w:pPr>
              <w:pStyle w:val="TableContents"/>
              <w:bidi w:val="0"/>
              <w:spacing w:before="0" w:after="283"/>
              <w:jc w:val="left"/>
              <w:rPr/>
            </w:pPr>
            <w:r>
              <w:rPr/>
              <w:t>Net Income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4" w:type="dxa"/>
            <w:tcBorders/>
            <w:shd w:fill="CCEEFF" w:val="clear"/>
            <w:tcMar>
              <w:bottom w:w="0" w:type="dxa"/>
            </w:tcMar>
            <w:vAlign w:val="center"/>
          </w:tcPr>
          <w:p>
            <w:pPr>
              <w:pStyle w:val="TableContents"/>
              <w:bidi w:val="0"/>
              <w:spacing w:before="0" w:after="283"/>
              <w:jc w:val="left"/>
              <w:rPr/>
            </w:pPr>
            <w:r>
              <w:rPr/>
              <w:t>$</w:t>
            </w:r>
          </w:p>
        </w:tc>
        <w:tc>
          <w:tcPr>
            <w:tcW w:w="1604" w:type="dxa"/>
            <w:tcBorders/>
            <w:shd w:fill="CCEEFF" w:val="clear"/>
            <w:tcMar>
              <w:bottom w:w="0" w:type="dxa"/>
            </w:tcMar>
            <w:vAlign w:val="center"/>
          </w:tcPr>
          <w:p>
            <w:pPr>
              <w:pStyle w:val="TableContents"/>
              <w:bidi w:val="0"/>
              <w:spacing w:before="0" w:after="283"/>
              <w:jc w:val="right"/>
              <w:rPr/>
            </w:pPr>
            <w:r>
              <w:rPr/>
              <w:t>3,401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pPr>
            <w:r>
              <w:rPr/>
              <w:t>$</w:t>
            </w:r>
          </w:p>
        </w:tc>
        <w:tc>
          <w:tcPr>
            <w:tcW w:w="1537" w:type="dxa"/>
            <w:tcBorders/>
            <w:shd w:fill="CCEEFF" w:val="clear"/>
            <w:tcMar>
              <w:bottom w:w="0" w:type="dxa"/>
            </w:tcMar>
            <w:vAlign w:val="center"/>
          </w:tcPr>
          <w:p>
            <w:pPr>
              <w:pStyle w:val="TableContents"/>
              <w:bidi w:val="0"/>
              <w:spacing w:before="0" w:after="283"/>
              <w:jc w:val="right"/>
              <w:rPr/>
            </w:pPr>
            <w:r>
              <w:rPr/>
              <w:t>745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pPr>
            <w:r>
              <w:rPr/>
              <w:t>$</w:t>
            </w:r>
          </w:p>
        </w:tc>
        <w:tc>
          <w:tcPr>
            <w:tcW w:w="1519" w:type="dxa"/>
            <w:tcBorders/>
            <w:shd w:fill="CCEEFF" w:val="clear"/>
            <w:tcMar>
              <w:bottom w:w="0" w:type="dxa"/>
            </w:tcMar>
            <w:vAlign w:val="center"/>
          </w:tcPr>
          <w:p>
            <w:pPr>
              <w:pStyle w:val="TableContents"/>
              <w:bidi w:val="0"/>
              <w:spacing w:before="0" w:after="283"/>
              <w:jc w:val="right"/>
              <w:rPr/>
            </w:pPr>
            <w:r>
              <w:rPr/>
              <w:t>5,467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7" w:type="dxa"/>
            <w:tcBorders/>
            <w:shd w:fill="CCEEFF" w:val="clear"/>
            <w:tcMar>
              <w:bottom w:w="0" w:type="dxa"/>
            </w:tcMar>
            <w:vAlign w:val="center"/>
          </w:tcPr>
          <w:p>
            <w:pPr>
              <w:pStyle w:val="TableContents"/>
              <w:bidi w:val="0"/>
              <w:spacing w:before="0" w:after="283"/>
              <w:jc w:val="left"/>
              <w:rPr/>
            </w:pPr>
            <w:r>
              <w:rPr/>
              <w:t>$</w:t>
            </w:r>
          </w:p>
        </w:tc>
        <w:tc>
          <w:tcPr>
            <w:tcW w:w="1455" w:type="dxa"/>
            <w:tcBorders/>
            <w:shd w:fill="CCEEFF" w:val="clear"/>
            <w:tcMar>
              <w:bottom w:w="0" w:type="dxa"/>
            </w:tcMar>
            <w:vAlign w:val="center"/>
          </w:tcPr>
          <w:p>
            <w:pPr>
              <w:pStyle w:val="TableContents"/>
              <w:bidi w:val="0"/>
              <w:spacing w:before="0" w:after="283"/>
              <w:jc w:val="right"/>
              <w:rPr/>
            </w:pPr>
            <w:r>
              <w:rPr/>
              <w:t>3,438</w:t>
            </w:r>
          </w:p>
        </w:tc>
        <w:tc>
          <w:tcPr>
            <w:tcW w:w="13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Fair Value Measurements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ASC 820 for measuring the fair value of portfolio investments. Fair value is the price that would be received in the sale of an asset or paid to transfer a liability in an orderly transaction between market participants at the measurement date. Where available, fair value is based on observable market prices or parameters, or derived from such prices or parameters. Where observable prices or inputs are not available, valuation models are applied. These valuation models involve some level of management estimation and judgment, the degree of which is dependent on the price transparency for the instruments or market and the instruments’ complexity.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fair value analysis includes an analysis of the value of any unfunded loan commitments. Financial investments recorded at fair value in the consolidated financial statements are categorized for disclosure purposes based upon the level of judgment associated with the inputs used to measure their value. The valuation hierarchical levels are based upon the transparency of the inputs to the valuation of the investment as of the measurement date. Investments which are valued using NAV as a practical expedient are excluded from this hierarchy, and certain prior period amounts have been reclassified to conform to the current period presentation. The three levels are defined below: </w:t>
      </w:r>
    </w:p>
    <w:p>
      <w:pPr>
        <w:pStyle w:val="TextBody"/>
        <w:bidi w:val="0"/>
        <w:spacing w:before="0" w:after="0"/>
        <w:jc w:val="left"/>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68"/>
        <w:gridCol w:w="200"/>
        <w:gridCol w:w="96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 Valuations based on quoted prices in active markets for identical assets or liabilities at the measurement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 Valuations based on quoted prices in markets that are not active or for which all significant inputs are observable, either directly or indirectly.</w:t>
            </w:r>
          </w:p>
        </w:tc>
      </w:tr>
    </w:tbl>
    <w:p>
      <w:pPr>
        <w:pStyle w:val="TextBody"/>
        <w:bidi w:val="0"/>
        <w:spacing w:before="0" w:after="0"/>
        <w:jc w:val="left"/>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68"/>
        <w:gridCol w:w="200"/>
        <w:gridCol w:w="92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 Valuations based on inputs that are unobservable and significant to the overall fair value measurement.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using the above inputs in investment valuations, the Company continues to employ a valuation policy approved by the board of directors that is consistent with ASC 820 (see Note 2). Consistent with our valuation policy, we evaluate the source of inputs, including any markets in which our investments are trading, in determining fair value.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fair value measurements of our investments, by major class according to the fair value hierarchy, as of June 30, 2026 (dollars in thousands): </w:t>
      </w:r>
    </w:p>
    <w:p>
      <w:pPr>
        <w:pStyle w:val="TextBody"/>
        <w:bidi w:val="0"/>
        <w:spacing w:before="0" w:after="0"/>
        <w:jc w:val="both"/>
        <w:rPr>
          <w:caps w:val="false"/>
          <w:smallCaps w:val="false"/>
        </w:rPr>
      </w:pPr>
      <w:r>
        <w:rPr>
          <w:caps w:val="false"/>
          <w:smallCaps w:val="false"/>
        </w:rPr>
        <w:t> </w:t>
      </w:r>
    </w:p>
    <w:tbl>
      <w:tblPr>
        <w:tblW w:w="8535" w:type="dxa"/>
        <w:jc w:val="left"/>
        <w:tblInd w:w="0" w:type="dxa"/>
        <w:tblLayout w:type="fixed"/>
        <w:tblCellMar>
          <w:top w:w="0" w:type="dxa"/>
          <w:left w:w="0" w:type="dxa"/>
          <w:bottom w:w="0" w:type="dxa"/>
          <w:right w:w="0" w:type="dxa"/>
        </w:tblCellMar>
      </w:tblPr>
      <w:tblGrid>
        <w:gridCol w:w="4010"/>
        <w:gridCol w:w="90"/>
        <w:gridCol w:w="170"/>
        <w:gridCol w:w="710"/>
        <w:gridCol w:w="90"/>
        <w:gridCol w:w="90"/>
        <w:gridCol w:w="170"/>
        <w:gridCol w:w="710"/>
        <w:gridCol w:w="90"/>
        <w:gridCol w:w="90"/>
        <w:gridCol w:w="170"/>
        <w:gridCol w:w="830"/>
        <w:gridCol w:w="90"/>
        <w:gridCol w:w="90"/>
        <w:gridCol w:w="170"/>
        <w:gridCol w:w="830"/>
        <w:gridCol w:w="135"/>
      </w:tblGrid>
      <w:tr>
        <w:trPr/>
        <w:tc>
          <w:tcPr>
            <w:tcW w:w="4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Hierarchy as of June 30, 2026</w:t>
            </w:r>
          </w:p>
        </w:tc>
        <w:tc>
          <w:tcPr>
            <w:tcW w:w="135" w:type="dxa"/>
            <w:tcBorders/>
            <w:vAlign w:val="center"/>
          </w:tcPr>
          <w:p>
            <w:pPr>
              <w:pStyle w:val="TableContents"/>
              <w:bidi w:val="0"/>
              <w:spacing w:before="0" w:after="283"/>
              <w:jc w:val="left"/>
              <w:rPr/>
            </w:pPr>
            <w:r>
              <w:rPr/>
              <w:t> </w:t>
            </w:r>
          </w:p>
        </w:tc>
      </w:tr>
      <w:tr>
        <w:trPr/>
        <w:tc>
          <w:tcPr>
            <w:tcW w:w="4010" w:type="dxa"/>
            <w:tcBorders>
              <w:bottom w:val="single" w:sz="12" w:space="0" w:color="000000"/>
            </w:tcBorders>
            <w:tcMar>
              <w:bottom w:w="28" w:type="dxa"/>
            </w:tcMar>
            <w:vAlign w:val="center"/>
          </w:tcPr>
          <w:p>
            <w:pPr>
              <w:pStyle w:val="TableContents"/>
              <w:bidi w:val="0"/>
              <w:spacing w:before="0" w:after="283"/>
              <w:jc w:val="left"/>
              <w:rPr>
                <w:b/>
              </w:rPr>
            </w:pPr>
            <w:r>
              <w:rPr>
                <w:b/>
              </w:rPr>
              <w:t>Investments:</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21,250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98,197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119,447</w:t>
            </w:r>
          </w:p>
        </w:tc>
        <w:tc>
          <w:tcPr>
            <w:tcW w:w="13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Senior Secured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8,115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6,997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15,112</w:t>
            </w:r>
          </w:p>
        </w:tc>
        <w:tc>
          <w:tcPr>
            <w:tcW w:w="13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Equity/Warrants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24,295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140,371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164,666</w:t>
            </w:r>
          </w:p>
        </w:tc>
        <w:tc>
          <w:tcPr>
            <w:tcW w:w="13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24,295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29,365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245,565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299,225</w:t>
            </w:r>
          </w:p>
        </w:tc>
        <w:tc>
          <w:tcPr>
            <w:tcW w:w="13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Investments measured at net asset value</w:t>
            </w:r>
            <w:r>
              <w:rPr>
                <w:rFonts w:ascii="Times New Roman;Times;Serif" w:hAnsi="Times New Roman;Times;Serif"/>
                <w:b w:val="false"/>
                <w:i w:val="false"/>
                <w:caps w:val="false"/>
                <w:smallCaps w:val="false"/>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2,412</w:t>
            </w:r>
          </w:p>
        </w:tc>
        <w:tc>
          <w:tcPr>
            <w:tcW w:w="13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Total Investments, at fair value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301,637</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investments that are measured at fair value using NAV have not been categorized in the fair value hierarchy. The fair value amounts presented in the table are intended to permit reconciliation of the fair value hierarchy to the amount presented in the Consolidated Statements of Assets and Liabilities.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4. Fair Value Measurements</w:t>
      </w:r>
      <w:r>
        <w:rPr>
          <w:rFonts w:ascii="Times New Roman;Times;Serif" w:hAnsi="Times New Roman;Times;Serif"/>
          <w:b w:val="false"/>
          <w:i w:val="false"/>
          <w:caps w:val="false"/>
          <w:smallCaps w:val="false"/>
          <w:sz w:val="20"/>
        </w:rPr>
        <w:t xml:space="preserve">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fair value measurements of our investments, by major class according to the fair value hierarchy, as of September 30, 2025 (dollars in thousands): </w:t>
      </w:r>
    </w:p>
    <w:p>
      <w:pPr>
        <w:pStyle w:val="TextBody"/>
        <w:bidi w:val="0"/>
        <w:spacing w:before="0" w:after="0"/>
        <w:jc w:val="both"/>
        <w:rPr>
          <w:caps w:val="false"/>
          <w:smallCaps w:val="false"/>
        </w:rPr>
      </w:pPr>
      <w:r>
        <w:rPr>
          <w:caps w:val="false"/>
          <w:smallCaps w:val="false"/>
        </w:rPr>
        <w:t> </w:t>
      </w:r>
    </w:p>
    <w:tbl>
      <w:tblPr>
        <w:tblW w:w="9045" w:type="dxa"/>
        <w:jc w:val="left"/>
        <w:tblInd w:w="0" w:type="dxa"/>
        <w:tblLayout w:type="fixed"/>
        <w:tblCellMar>
          <w:top w:w="0" w:type="dxa"/>
          <w:left w:w="0" w:type="dxa"/>
          <w:bottom w:w="0" w:type="dxa"/>
          <w:right w:w="0" w:type="dxa"/>
        </w:tblCellMar>
      </w:tblPr>
      <w:tblGrid>
        <w:gridCol w:w="4010"/>
        <w:gridCol w:w="90"/>
        <w:gridCol w:w="190"/>
        <w:gridCol w:w="795"/>
        <w:gridCol w:w="100"/>
        <w:gridCol w:w="100"/>
        <w:gridCol w:w="190"/>
        <w:gridCol w:w="795"/>
        <w:gridCol w:w="100"/>
        <w:gridCol w:w="100"/>
        <w:gridCol w:w="190"/>
        <w:gridCol w:w="930"/>
        <w:gridCol w:w="100"/>
        <w:gridCol w:w="100"/>
        <w:gridCol w:w="190"/>
        <w:gridCol w:w="930"/>
        <w:gridCol w:w="135"/>
      </w:tblGrid>
      <w:tr>
        <w:trPr/>
        <w:tc>
          <w:tcPr>
            <w:tcW w:w="4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1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Hierarchy as of September 30, 2025</w:t>
            </w:r>
          </w:p>
        </w:tc>
        <w:tc>
          <w:tcPr>
            <w:tcW w:w="135" w:type="dxa"/>
            <w:tcBorders/>
            <w:vAlign w:val="center"/>
          </w:tcPr>
          <w:p>
            <w:pPr>
              <w:pStyle w:val="TableContents"/>
              <w:bidi w:val="0"/>
              <w:spacing w:before="0" w:after="283"/>
              <w:jc w:val="left"/>
              <w:rPr/>
            </w:pPr>
            <w:r>
              <w:rPr/>
              <w:t> </w:t>
            </w:r>
          </w:p>
        </w:tc>
      </w:tr>
      <w:tr>
        <w:trPr/>
        <w:tc>
          <w:tcPr>
            <w:tcW w:w="4010" w:type="dxa"/>
            <w:tcBorders>
              <w:bottom w:val="single" w:sz="12" w:space="0" w:color="000000"/>
            </w:tcBorders>
            <w:tcMar>
              <w:bottom w:w="28" w:type="dxa"/>
            </w:tcMar>
            <w:vAlign w:val="center"/>
          </w:tcPr>
          <w:p>
            <w:pPr>
              <w:pStyle w:val="TableContents"/>
              <w:bidi w:val="0"/>
              <w:spacing w:before="0" w:after="283"/>
              <w:jc w:val="left"/>
              <w:rPr>
                <w:b/>
              </w:rPr>
            </w:pPr>
            <w:r>
              <w:rPr>
                <w:b/>
              </w:rPr>
              <w:t>Investments:</w:t>
            </w:r>
          </w:p>
        </w:tc>
        <w:tc>
          <w:tcPr>
            <w:tcW w:w="9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95" w:type="dxa"/>
            <w:tcBorders/>
            <w:shd w:fill="CCEEFF" w:val="clear"/>
            <w:vAlign w:val="center"/>
          </w:tcPr>
          <w:p>
            <w:pPr>
              <w:pStyle w:val="TableContents"/>
              <w:bidi w:val="0"/>
              <w:spacing w:before="0" w:after="0"/>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95" w:type="dxa"/>
            <w:tcBorders/>
            <w:shd w:fill="CCEEFF" w:val="clear"/>
            <w:vAlign w:val="center"/>
          </w:tcPr>
          <w:p>
            <w:pPr>
              <w:pStyle w:val="TableContents"/>
              <w:bidi w:val="0"/>
              <w:spacing w:before="0" w:after="283"/>
              <w:jc w:val="right"/>
              <w:rPr/>
            </w:pPr>
            <w:r>
              <w:rPr/>
              <w:t>27,586</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88,981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116,567</w:t>
            </w:r>
          </w:p>
        </w:tc>
        <w:tc>
          <w:tcPr>
            <w:tcW w:w="13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Senior Secured Notes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0"/>
              <w:jc w:val="right"/>
              <w:rPr/>
            </w:pPr>
            <w:r>
              <w:rPr/>
              <w:t>-</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right"/>
              <w:rPr/>
            </w:pPr>
            <w:r>
              <w:rPr/>
              <w:t>10,460</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6,997</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17,457</w:t>
            </w:r>
          </w:p>
        </w:tc>
        <w:tc>
          <w:tcPr>
            <w:tcW w:w="13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Equity/Warrants</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283"/>
              <w:jc w:val="right"/>
              <w:rPr/>
            </w:pPr>
            <w:r>
              <w:rPr/>
              <w:t>37,812</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0" w:type="dxa"/>
            <w:tcBorders>
              <w:bottom w:val="single" w:sz="12" w:space="0" w:color="000000"/>
            </w:tcBorders>
            <w:shd w:fill="CCEEFF" w:val="clear"/>
            <w:tcMar>
              <w:bottom w:w="28" w:type="dxa"/>
            </w:tcMar>
            <w:vAlign w:val="center"/>
          </w:tcPr>
          <w:p>
            <w:pPr>
              <w:pStyle w:val="TableContents"/>
              <w:bidi w:val="0"/>
              <w:spacing w:before="0" w:after="283"/>
              <w:jc w:val="right"/>
              <w:rPr/>
            </w:pPr>
            <w:r>
              <w:rPr/>
              <w:t>128,209</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0" w:type="dxa"/>
            <w:tcBorders>
              <w:bottom w:val="single" w:sz="12" w:space="0" w:color="000000"/>
            </w:tcBorders>
            <w:shd w:fill="CCEEFF" w:val="clear"/>
            <w:tcMar>
              <w:bottom w:w="28" w:type="dxa"/>
            </w:tcMar>
            <w:vAlign w:val="center"/>
          </w:tcPr>
          <w:p>
            <w:pPr>
              <w:pStyle w:val="TableContents"/>
              <w:bidi w:val="0"/>
              <w:spacing w:before="0" w:after="283"/>
              <w:jc w:val="right"/>
              <w:rPr/>
            </w:pPr>
            <w:r>
              <w:rPr/>
              <w:t>166,021</w:t>
            </w:r>
          </w:p>
        </w:tc>
        <w:tc>
          <w:tcPr>
            <w:tcW w:w="13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795" w:type="dxa"/>
            <w:tcBorders>
              <w:bottom w:val="double" w:sz="10" w:space="0" w:color="000000"/>
            </w:tcBorders>
            <w:tcMar>
              <w:bottom w:w="28" w:type="dxa"/>
            </w:tcMar>
            <w:vAlign w:val="center"/>
          </w:tcPr>
          <w:p>
            <w:pPr>
              <w:pStyle w:val="TableContents"/>
              <w:bidi w:val="0"/>
              <w:spacing w:before="0" w:after="283"/>
              <w:jc w:val="right"/>
              <w:rPr/>
            </w:pPr>
            <w:r>
              <w:rPr/>
              <w:t>37,812</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795" w:type="dxa"/>
            <w:tcBorders>
              <w:bottom w:val="double" w:sz="10" w:space="0" w:color="000000"/>
            </w:tcBorders>
            <w:tcMar>
              <w:bottom w:w="28" w:type="dxa"/>
            </w:tcMar>
            <w:vAlign w:val="center"/>
          </w:tcPr>
          <w:p>
            <w:pPr>
              <w:pStyle w:val="TableContents"/>
              <w:bidi w:val="0"/>
              <w:spacing w:before="0" w:after="283"/>
              <w:jc w:val="right"/>
              <w:rPr/>
            </w:pPr>
            <w:r>
              <w:rPr/>
              <w:t>38,046</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930" w:type="dxa"/>
            <w:tcBorders>
              <w:bottom w:val="double" w:sz="10" w:space="0" w:color="000000"/>
            </w:tcBorders>
            <w:tcMar>
              <w:bottom w:w="28" w:type="dxa"/>
            </w:tcMar>
            <w:vAlign w:val="center"/>
          </w:tcPr>
          <w:p>
            <w:pPr>
              <w:pStyle w:val="TableContents"/>
              <w:bidi w:val="0"/>
              <w:spacing w:before="0" w:after="283"/>
              <w:jc w:val="right"/>
              <w:rPr/>
            </w:pPr>
            <w:r>
              <w:rPr/>
              <w:t>224,187</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930" w:type="dxa"/>
            <w:tcBorders>
              <w:bottom w:val="double" w:sz="10" w:space="0" w:color="000000"/>
            </w:tcBorders>
            <w:tcMar>
              <w:bottom w:w="28" w:type="dxa"/>
            </w:tcMar>
            <w:vAlign w:val="center"/>
          </w:tcPr>
          <w:p>
            <w:pPr>
              <w:pStyle w:val="TableContents"/>
              <w:bidi w:val="0"/>
              <w:spacing w:before="0" w:after="283"/>
              <w:jc w:val="right"/>
              <w:rPr/>
            </w:pPr>
            <w:r>
              <w:rPr/>
              <w:t>300,045</w:t>
            </w:r>
          </w:p>
        </w:tc>
        <w:tc>
          <w:tcPr>
            <w:tcW w:w="13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Investments measured at net asset value</w:t>
            </w:r>
            <w:r>
              <w:rPr>
                <w:rFonts w:ascii="Times New Roman;Times;Serif" w:hAnsi="Times New Roman;Times;Serif"/>
                <w:b w:val="false"/>
                <w:i w:val="false"/>
                <w:caps w:val="false"/>
                <w:smallCaps w:val="false"/>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0" w:type="dxa"/>
            <w:tcBorders>
              <w:bottom w:val="single" w:sz="12" w:space="0" w:color="000000"/>
            </w:tcBorders>
            <w:shd w:fill="CCEEFF" w:val="clear"/>
            <w:tcMar>
              <w:bottom w:w="28" w:type="dxa"/>
            </w:tcMar>
            <w:vAlign w:val="center"/>
          </w:tcPr>
          <w:p>
            <w:pPr>
              <w:pStyle w:val="TableContents"/>
              <w:bidi w:val="0"/>
              <w:spacing w:before="0" w:after="283"/>
              <w:jc w:val="right"/>
              <w:rPr/>
            </w:pPr>
            <w:r>
              <w:rPr/>
              <w:t>2,227</w:t>
            </w:r>
          </w:p>
        </w:tc>
        <w:tc>
          <w:tcPr>
            <w:tcW w:w="13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Total Investments, at fair value</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930" w:type="dxa"/>
            <w:tcBorders>
              <w:bottom w:val="double" w:sz="10" w:space="0" w:color="000000"/>
            </w:tcBorders>
            <w:tcMar>
              <w:bottom w:w="28" w:type="dxa"/>
            </w:tcMar>
            <w:vAlign w:val="center"/>
          </w:tcPr>
          <w:p>
            <w:pPr>
              <w:pStyle w:val="TableContents"/>
              <w:bidi w:val="0"/>
              <w:spacing w:before="0" w:after="283"/>
              <w:jc w:val="right"/>
              <w:rPr/>
            </w:pPr>
            <w:r>
              <w:rPr/>
              <w:t>302,272</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investments that are measured at fair value using NAV have not been categorized in the fair value hierarchy. The fair value amounts presented in the table are intended to permit reconciliation of the fair value hierarchy to the amount presented in the Consolidated Statements of Assets and Liabilities.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the beginning and ending balances for investments that use Level 3 inputs for the nine months ended June 30, 2026 (dollars in thousands):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4"/>
        <w:gridCol w:w="90"/>
        <w:gridCol w:w="485"/>
        <w:gridCol w:w="2133"/>
        <w:gridCol w:w="110"/>
        <w:gridCol w:w="90"/>
        <w:gridCol w:w="351"/>
        <w:gridCol w:w="1175"/>
        <w:gridCol w:w="90"/>
        <w:gridCol w:w="90"/>
        <w:gridCol w:w="255"/>
        <w:gridCol w:w="1194"/>
        <w:gridCol w:w="110"/>
        <w:gridCol w:w="90"/>
        <w:gridCol w:w="155"/>
        <w:gridCol w:w="725"/>
        <w:gridCol w:w="158"/>
      </w:tblGrid>
      <w:tr>
        <w:trPr/>
        <w:tc>
          <w:tcPr>
            <w:tcW w:w="29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Senior Secured First Lien Term Loans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Senior Secured 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Equities/ Warrants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158" w:type="dxa"/>
            <w:tcBorders/>
            <w:vAlign w:val="center"/>
          </w:tcPr>
          <w:p>
            <w:pPr>
              <w:pStyle w:val="TableContents"/>
              <w:bidi w:val="0"/>
              <w:spacing w:before="0" w:after="283"/>
              <w:jc w:val="left"/>
              <w:rPr/>
            </w:pPr>
            <w:r>
              <w:rPr/>
              <w:t> </w:t>
            </w:r>
          </w:p>
        </w:tc>
      </w:tr>
      <w:tr>
        <w:trPr/>
        <w:tc>
          <w:tcPr>
            <w:tcW w:w="29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September 30, 2025</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88,981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128,209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224,187</w:t>
            </w:r>
          </w:p>
        </w:tc>
        <w:tc>
          <w:tcPr>
            <w:tcW w:w="158" w:type="dxa"/>
            <w:tcBorders/>
            <w:shd w:fill="CCEEFF" w:val="clear"/>
            <w:vAlign w:val="center"/>
          </w:tcPr>
          <w:p>
            <w:pPr>
              <w:pStyle w:val="TableContents"/>
              <w:bidi w:val="0"/>
              <w:spacing w:before="0" w:after="283"/>
              <w:jc w:val="left"/>
              <w:rPr/>
            </w:pPr>
            <w:r>
              <w:rPr/>
              <w:t> </w:t>
            </w:r>
          </w:p>
        </w:tc>
      </w:tr>
      <w:tr>
        <w:trPr/>
        <w:tc>
          <w:tcPr>
            <w:tcW w:w="29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and other adjustments to cost</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13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26,302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15,592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41,894</w:t>
            </w:r>
          </w:p>
        </w:tc>
        <w:tc>
          <w:tcPr>
            <w:tcW w:w="158" w:type="dxa"/>
            <w:tcBorders/>
            <w:vAlign w:val="center"/>
          </w:tcPr>
          <w:p>
            <w:pPr>
              <w:pStyle w:val="TableContents"/>
              <w:bidi w:val="0"/>
              <w:spacing w:before="0" w:after="283"/>
              <w:jc w:val="left"/>
              <w:rPr/>
            </w:pPr>
            <w:r>
              <w:rPr/>
              <w:t> </w:t>
            </w:r>
          </w:p>
        </w:tc>
      </w:tr>
      <w:tr>
        <w:trPr/>
        <w:tc>
          <w:tcPr>
            <w:tcW w:w="29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(including repayments or maturities)</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1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(11,143</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(7,174</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(18,317</w:t>
            </w:r>
          </w:p>
        </w:tc>
        <w:tc>
          <w:tcPr>
            <w:tcW w:w="1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realized gains/(losses) from investments</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13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698</w:t>
            </w:r>
          </w:p>
        </w:tc>
        <w:tc>
          <w:tcPr>
            <w:tcW w:w="158" w:type="dxa"/>
            <w:tcBorders/>
            <w:vAlign w:val="center"/>
          </w:tcPr>
          <w:p>
            <w:pPr>
              <w:pStyle w:val="TableContents"/>
              <w:bidi w:val="0"/>
              <w:spacing w:before="0" w:after="283"/>
              <w:jc w:val="left"/>
              <w:rPr/>
            </w:pPr>
            <w:r>
              <w:rPr/>
              <w:t> </w:t>
            </w:r>
          </w:p>
        </w:tc>
      </w:tr>
      <w:tr>
        <w:trPr/>
        <w:tc>
          <w:tcPr>
            <w:tcW w:w="29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unrealized gains/(losses)</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1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(5,962</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(2,897</w:t>
            </w:r>
          </w:p>
        </w:tc>
        <w:tc>
          <w:tcPr>
            <w:tcW w:w="1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in/(out)</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 </w:t>
            </w:r>
          </w:p>
        </w:tc>
        <w:tc>
          <w:tcPr>
            <w:tcW w:w="2133"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pPr>
            <w:r>
              <w:rPr/>
              <w:t>-</w:t>
            </w:r>
          </w:p>
        </w:tc>
        <w:tc>
          <w:tcPr>
            <w:tcW w:w="158" w:type="dxa"/>
            <w:tcBorders/>
            <w:vAlign w:val="center"/>
          </w:tcPr>
          <w:p>
            <w:pPr>
              <w:pStyle w:val="TableContents"/>
              <w:bidi w:val="0"/>
              <w:spacing w:before="0" w:after="283"/>
              <w:jc w:val="left"/>
              <w:rPr/>
            </w:pPr>
            <w:r>
              <w:rPr/>
              <w:t> </w:t>
            </w:r>
          </w:p>
        </w:tc>
      </w:tr>
      <w:tr>
        <w:trPr/>
        <w:tc>
          <w:tcPr>
            <w:tcW w:w="29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June 30, 2026</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98,197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140,371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245,565</w:t>
            </w:r>
          </w:p>
        </w:tc>
        <w:tc>
          <w:tcPr>
            <w:tcW w:w="158"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the beginning and ending balances for investments that use Level 3 inputs for the nine months ended June 30, 2025 (dollars in thousands):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9"/>
        <w:gridCol w:w="90"/>
        <w:gridCol w:w="447"/>
        <w:gridCol w:w="2068"/>
        <w:gridCol w:w="125"/>
        <w:gridCol w:w="90"/>
        <w:gridCol w:w="349"/>
        <w:gridCol w:w="1221"/>
        <w:gridCol w:w="90"/>
        <w:gridCol w:w="90"/>
        <w:gridCol w:w="256"/>
        <w:gridCol w:w="1251"/>
        <w:gridCol w:w="125"/>
        <w:gridCol w:w="90"/>
        <w:gridCol w:w="170"/>
        <w:gridCol w:w="830"/>
        <w:gridCol w:w="174"/>
      </w:tblGrid>
      <w:tr>
        <w:trPr/>
        <w:tc>
          <w:tcPr>
            <w:tcW w:w="27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Senior Secured First Lien Term Loans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Senior Secured 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Equities/ Warrants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4" w:type="dxa"/>
            <w:tcBorders/>
            <w:vAlign w:val="center"/>
          </w:tcPr>
          <w:p>
            <w:pPr>
              <w:pStyle w:val="TableContents"/>
              <w:bidi w:val="0"/>
              <w:spacing w:before="0" w:after="283"/>
              <w:jc w:val="left"/>
              <w:rPr/>
            </w:pPr>
            <w:r>
              <w:rPr/>
              <w:t> </w:t>
            </w:r>
          </w:p>
        </w:tc>
      </w:tr>
      <w:tr>
        <w:trPr/>
        <w:tc>
          <w:tcPr>
            <w:tcW w:w="2739" w:type="dxa"/>
            <w:tcBorders/>
            <w:shd w:fill="CCEEFF" w:val="clear"/>
            <w:vAlign w:val="center"/>
          </w:tcPr>
          <w:p>
            <w:pPr>
              <w:pStyle w:val="TableContents"/>
              <w:bidi w:val="0"/>
              <w:spacing w:before="0" w:after="283"/>
              <w:jc w:val="left"/>
              <w:rPr/>
            </w:pPr>
            <w:r>
              <w:rPr/>
              <w:t>Balance as of September 30, 2024</w:t>
            </w:r>
          </w:p>
        </w:tc>
        <w:tc>
          <w:tcPr>
            <w:tcW w:w="9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w:t>
            </w:r>
          </w:p>
        </w:tc>
        <w:tc>
          <w:tcPr>
            <w:tcW w:w="2068" w:type="dxa"/>
            <w:tcBorders/>
            <w:shd w:fill="CCEEFF" w:val="clear"/>
            <w:vAlign w:val="center"/>
          </w:tcPr>
          <w:p>
            <w:pPr>
              <w:pStyle w:val="TableContents"/>
              <w:bidi w:val="0"/>
              <w:spacing w:before="0" w:after="283"/>
              <w:jc w:val="right"/>
              <w:rPr/>
            </w:pPr>
            <w:r>
              <w:rPr/>
              <w:t>68,987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7,422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251" w:type="dxa"/>
            <w:tcBorders/>
            <w:shd w:fill="CCEEFF" w:val="clear"/>
            <w:vAlign w:val="center"/>
          </w:tcPr>
          <w:p>
            <w:pPr>
              <w:pStyle w:val="TableContents"/>
              <w:bidi w:val="0"/>
              <w:spacing w:before="0" w:after="283"/>
              <w:jc w:val="right"/>
              <w:rPr/>
            </w:pPr>
            <w:r>
              <w:rPr/>
              <w:t>63,881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140,290</w:t>
            </w:r>
          </w:p>
        </w:tc>
        <w:tc>
          <w:tcPr>
            <w:tcW w:w="174" w:type="dxa"/>
            <w:tcBorders/>
            <w:shd w:fill="CCEEFF" w:val="clear"/>
            <w:vAlign w:val="center"/>
          </w:tcPr>
          <w:p>
            <w:pPr>
              <w:pStyle w:val="TableContents"/>
              <w:bidi w:val="0"/>
              <w:spacing w:before="0" w:after="283"/>
              <w:jc w:val="left"/>
              <w:rPr/>
            </w:pPr>
            <w:r>
              <w:rPr/>
              <w:t> </w:t>
            </w:r>
          </w:p>
        </w:tc>
      </w:tr>
      <w:tr>
        <w:trPr/>
        <w:tc>
          <w:tcPr>
            <w:tcW w:w="2739" w:type="dxa"/>
            <w:tcBorders/>
            <w:vAlign w:val="center"/>
          </w:tcPr>
          <w:p>
            <w:pPr>
              <w:pStyle w:val="TableContents"/>
              <w:bidi w:val="0"/>
              <w:spacing w:before="0" w:after="283"/>
              <w:jc w:val="left"/>
              <w:rPr/>
            </w:pPr>
            <w:r>
              <w:rPr/>
              <w:t>Purchases and other adjustments to cost</w:t>
            </w:r>
          </w:p>
        </w:tc>
        <w:tc>
          <w:tcPr>
            <w:tcW w:w="9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66,391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76,653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143,044</w:t>
            </w:r>
          </w:p>
        </w:tc>
        <w:tc>
          <w:tcPr>
            <w:tcW w:w="174" w:type="dxa"/>
            <w:tcBorders/>
            <w:vAlign w:val="center"/>
          </w:tcPr>
          <w:p>
            <w:pPr>
              <w:pStyle w:val="TableContents"/>
              <w:bidi w:val="0"/>
              <w:spacing w:before="0" w:after="283"/>
              <w:jc w:val="left"/>
              <w:rPr/>
            </w:pPr>
            <w:r>
              <w:rPr/>
              <w:t> </w:t>
            </w:r>
          </w:p>
        </w:tc>
      </w:tr>
      <w:tr>
        <w:trPr/>
        <w:tc>
          <w:tcPr>
            <w:tcW w:w="2739" w:type="dxa"/>
            <w:tcBorders/>
            <w:shd w:fill="CCEEFF" w:val="clear"/>
            <w:vAlign w:val="center"/>
          </w:tcPr>
          <w:p>
            <w:pPr>
              <w:pStyle w:val="TableContents"/>
              <w:bidi w:val="0"/>
              <w:spacing w:before="0" w:after="283"/>
              <w:jc w:val="left"/>
              <w:rPr/>
            </w:pPr>
            <w:r>
              <w:rPr/>
              <w:t>Sales (including repayments or maturities)</w:t>
            </w:r>
          </w:p>
        </w:tc>
        <w:tc>
          <w:tcPr>
            <w:tcW w:w="9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(35,192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(12,983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(48,172</w:t>
            </w:r>
          </w:p>
        </w:tc>
        <w:tc>
          <w:tcPr>
            <w:tcW w:w="174" w:type="dxa"/>
            <w:tcBorders/>
            <w:shd w:fill="CCEEFF" w:val="clear"/>
            <w:vAlign w:val="center"/>
          </w:tcPr>
          <w:p>
            <w:pPr>
              <w:pStyle w:val="TableContents"/>
              <w:bidi w:val="0"/>
              <w:spacing w:before="0" w:after="283"/>
              <w:jc w:val="left"/>
              <w:rPr/>
            </w:pPr>
            <w:r>
              <w:rPr/>
              <w:t>)</w:t>
            </w:r>
          </w:p>
        </w:tc>
      </w:tr>
      <w:tr>
        <w:trPr/>
        <w:tc>
          <w:tcPr>
            <w:tcW w:w="2739" w:type="dxa"/>
            <w:tcBorders/>
            <w:vAlign w:val="center"/>
          </w:tcPr>
          <w:p>
            <w:pPr>
              <w:pStyle w:val="TableContents"/>
              <w:bidi w:val="0"/>
              <w:spacing w:before="0" w:after="283"/>
              <w:jc w:val="left"/>
              <w:rPr/>
            </w:pPr>
            <w:r>
              <w:rPr/>
              <w:t>Net realized gains/(losses) from investments</w:t>
            </w:r>
          </w:p>
        </w:tc>
        <w:tc>
          <w:tcPr>
            <w:tcW w:w="9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(11,617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(1,771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(13,388</w:t>
            </w:r>
          </w:p>
        </w:tc>
        <w:tc>
          <w:tcPr>
            <w:tcW w:w="174" w:type="dxa"/>
            <w:tcBorders/>
            <w:vAlign w:val="center"/>
          </w:tcPr>
          <w:p>
            <w:pPr>
              <w:pStyle w:val="TableContents"/>
              <w:bidi w:val="0"/>
              <w:spacing w:before="0" w:after="283"/>
              <w:jc w:val="left"/>
              <w:rPr/>
            </w:pPr>
            <w:r>
              <w:rPr/>
              <w:t>)</w:t>
            </w:r>
          </w:p>
        </w:tc>
      </w:tr>
      <w:tr>
        <w:trPr/>
        <w:tc>
          <w:tcPr>
            <w:tcW w:w="2739" w:type="dxa"/>
            <w:tcBorders/>
            <w:shd w:fill="CCEEFF" w:val="clear"/>
            <w:vAlign w:val="center"/>
          </w:tcPr>
          <w:p>
            <w:pPr>
              <w:pStyle w:val="TableContents"/>
              <w:bidi w:val="0"/>
              <w:spacing w:before="0" w:after="283"/>
              <w:jc w:val="left"/>
              <w:rPr/>
            </w:pPr>
            <w:r>
              <w:rPr/>
              <w:t>Net unrealized gains/(losses)</w:t>
            </w:r>
          </w:p>
        </w:tc>
        <w:tc>
          <w:tcPr>
            <w:tcW w:w="9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9,617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(3,069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6,545</w:t>
            </w:r>
          </w:p>
        </w:tc>
        <w:tc>
          <w:tcPr>
            <w:tcW w:w="174" w:type="dxa"/>
            <w:tcBorders/>
            <w:shd w:fill="CCEEFF" w:val="clear"/>
            <w:vAlign w:val="center"/>
          </w:tcPr>
          <w:p>
            <w:pPr>
              <w:pStyle w:val="TableContents"/>
              <w:bidi w:val="0"/>
              <w:spacing w:before="0" w:after="283"/>
              <w:jc w:val="left"/>
              <w:rPr/>
            </w:pPr>
            <w:r>
              <w:rPr/>
              <w:t> </w:t>
            </w:r>
          </w:p>
        </w:tc>
      </w:tr>
      <w:tr>
        <w:trPr/>
        <w:tc>
          <w:tcPr>
            <w:tcW w:w="2739" w:type="dxa"/>
            <w:tcBorders/>
            <w:vAlign w:val="center"/>
          </w:tcPr>
          <w:p>
            <w:pPr>
              <w:pStyle w:val="TableContents"/>
              <w:bidi w:val="0"/>
              <w:spacing w:before="0" w:after="283"/>
              <w:jc w:val="left"/>
              <w:rPr/>
            </w:pPr>
            <w:r>
              <w:rPr/>
              <w:t>Transfer in/(out)</w:t>
            </w:r>
          </w:p>
        </w:tc>
        <w:tc>
          <w:tcPr>
            <w:tcW w:w="90" w:type="dxa"/>
            <w:tcBorders/>
            <w:vAlign w:val="center"/>
          </w:tcPr>
          <w:p>
            <w:pPr>
              <w:pStyle w:val="TableContents"/>
              <w:bidi w:val="0"/>
              <w:spacing w:before="0" w:after="283"/>
              <w:jc w:val="left"/>
              <w:rPr/>
            </w:pPr>
            <w:r>
              <w:rPr/>
              <w:t> </w:t>
            </w:r>
          </w:p>
        </w:tc>
        <w:tc>
          <w:tcPr>
            <w:tcW w:w="447" w:type="dxa"/>
            <w:tcBorders>
              <w:bottom w:val="single" w:sz="12" w:space="0" w:color="000000"/>
            </w:tcBorders>
            <w:tcMar>
              <w:bottom w:w="28" w:type="dxa"/>
            </w:tcMar>
            <w:vAlign w:val="center"/>
          </w:tcPr>
          <w:p>
            <w:pPr>
              <w:pStyle w:val="TableContents"/>
              <w:bidi w:val="0"/>
              <w:spacing w:before="0" w:after="283"/>
              <w:jc w:val="left"/>
              <w:rPr/>
            </w:pPr>
            <w:r>
              <w:rPr/>
              <w:t> </w:t>
            </w:r>
          </w:p>
        </w:tc>
        <w:tc>
          <w:tcPr>
            <w:tcW w:w="2068" w:type="dxa"/>
            <w:tcBorders>
              <w:bottom w:val="single" w:sz="12" w:space="0" w:color="000000"/>
            </w:tcBorders>
            <w:tcMar>
              <w:bottom w:w="28" w:type="dxa"/>
            </w:tcMar>
            <w:vAlign w:val="center"/>
          </w:tcPr>
          <w:p>
            <w:pPr>
              <w:pStyle w:val="TableContents"/>
              <w:bidi w:val="0"/>
              <w:spacing w:before="0" w:after="283"/>
              <w:jc w:val="right"/>
              <w:rPr/>
            </w:pPr>
            <w:r>
              <w:rPr/>
              <w:t>(7,883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4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1" w:type="dxa"/>
            <w:tcBorders>
              <w:bottom w:val="single" w:sz="12" w:space="0" w:color="000000"/>
            </w:tcBorders>
            <w:tcMar>
              <w:bottom w:w="28" w:type="dxa"/>
            </w:tcMar>
            <w:vAlign w:val="center"/>
          </w:tcPr>
          <w:p>
            <w:pPr>
              <w:pStyle w:val="TableContents"/>
              <w:bidi w:val="0"/>
              <w:spacing w:before="0" w:after="283"/>
              <w:jc w:val="right"/>
              <w:rPr/>
            </w:pPr>
            <w:r>
              <w:rPr/>
              <w:t>(112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(7,995</w:t>
            </w:r>
          </w:p>
        </w:tc>
        <w:tc>
          <w:tcPr>
            <w:tcW w:w="174" w:type="dxa"/>
            <w:tcBorders/>
            <w:vAlign w:val="center"/>
          </w:tcPr>
          <w:p>
            <w:pPr>
              <w:pStyle w:val="TableContents"/>
              <w:bidi w:val="0"/>
              <w:spacing w:before="0" w:after="283"/>
              <w:jc w:val="left"/>
              <w:rPr/>
            </w:pPr>
            <w:r>
              <w:rPr/>
              <w:t>)</w:t>
            </w:r>
          </w:p>
        </w:tc>
      </w:tr>
      <w:tr>
        <w:trPr/>
        <w:tc>
          <w:tcPr>
            <w:tcW w:w="2739" w:type="dxa"/>
            <w:tcBorders/>
            <w:shd w:fill="CCEEFF" w:val="clear"/>
            <w:vAlign w:val="center"/>
          </w:tcPr>
          <w:p>
            <w:pPr>
              <w:pStyle w:val="TableContents"/>
              <w:bidi w:val="0"/>
              <w:spacing w:before="0" w:after="283"/>
              <w:jc w:val="left"/>
              <w:rPr/>
            </w:pPr>
            <w:r>
              <w:rPr/>
              <w:t>Balance as of June 30, 2025</w:t>
            </w:r>
          </w:p>
        </w:tc>
        <w:tc>
          <w:tcPr>
            <w:tcW w:w="90" w:type="dxa"/>
            <w:tcBorders/>
            <w:shd w:fill="CCEEFF" w:val="clear"/>
            <w:vAlign w:val="center"/>
          </w:tcPr>
          <w:p>
            <w:pPr>
              <w:pStyle w:val="TableContents"/>
              <w:bidi w:val="0"/>
              <w:spacing w:before="0" w:after="283"/>
              <w:jc w:val="left"/>
              <w:rPr/>
            </w:pPr>
            <w:r>
              <w:rPr/>
              <w:t> </w:t>
            </w:r>
          </w:p>
        </w:tc>
        <w:tc>
          <w:tcPr>
            <w:tcW w:w="4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68" w:type="dxa"/>
            <w:tcBorders>
              <w:bottom w:val="double" w:sz="10" w:space="0" w:color="000000"/>
            </w:tcBorders>
            <w:shd w:fill="CCEEFF" w:val="clear"/>
            <w:tcMar>
              <w:bottom w:w="28" w:type="dxa"/>
            </w:tcMar>
            <w:vAlign w:val="center"/>
          </w:tcPr>
          <w:p>
            <w:pPr>
              <w:pStyle w:val="TableContents"/>
              <w:bidi w:val="0"/>
              <w:spacing w:before="0" w:after="283"/>
              <w:jc w:val="right"/>
              <w:rPr/>
            </w:pPr>
            <w:r>
              <w:rPr/>
              <w:t>90,303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1" w:type="dxa"/>
            <w:tcBorders>
              <w:bottom w:val="double" w:sz="10" w:space="0" w:color="000000"/>
            </w:tcBorders>
            <w:shd w:fill="CCEEFF" w:val="clear"/>
            <w:tcMar>
              <w:bottom w:w="28" w:type="dxa"/>
            </w:tcMar>
            <w:vAlign w:val="center"/>
          </w:tcPr>
          <w:p>
            <w:pPr>
              <w:pStyle w:val="TableContents"/>
              <w:bidi w:val="0"/>
              <w:spacing w:before="0" w:after="283"/>
              <w:jc w:val="right"/>
              <w:rPr/>
            </w:pPr>
            <w:r>
              <w:rPr/>
              <w:t>7,422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1" w:type="dxa"/>
            <w:tcBorders>
              <w:bottom w:val="double" w:sz="10" w:space="0" w:color="000000"/>
            </w:tcBorders>
            <w:shd w:fill="CCEEFF" w:val="clear"/>
            <w:tcMar>
              <w:bottom w:w="28" w:type="dxa"/>
            </w:tcMar>
            <w:vAlign w:val="center"/>
          </w:tcPr>
          <w:p>
            <w:pPr>
              <w:pStyle w:val="TableContents"/>
              <w:bidi w:val="0"/>
              <w:spacing w:before="0" w:after="283"/>
              <w:jc w:val="right"/>
              <w:rPr/>
            </w:pPr>
            <w:r>
              <w:rPr/>
              <w:t>122,599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220,324</w:t>
            </w:r>
          </w:p>
        </w:tc>
        <w:tc>
          <w:tcPr>
            <w:tcW w:w="174"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unrealized gain (loss) for the nine months ended June 30, 2026 and 2025 included in earnings related to Level 3 investments still held as of June 30, 2026 and 2025 was approximately $(2.0) million and $ (4.6) million,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and other adjustments to cost include purchases of new investments at cost, effects of refinancing/restructuring, accretion/amortization of income from discount/premium on debt securities, and PIK.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represent net proceeds received from investments sold, including any repayments or maturities.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4. Fair Value Measurements</w:t>
      </w:r>
      <w:r>
        <w:rPr>
          <w:rFonts w:ascii="Times New Roman;Times;Serif" w:hAnsi="Times New Roman;Times;Serif"/>
          <w:b w:val="false"/>
          <w:i w:val="false"/>
          <w:caps w:val="false"/>
          <w:smallCaps w:val="false"/>
          <w:sz w:val="20"/>
        </w:rPr>
        <w:t xml:space="preserve">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review of the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 During the nine months ended June 30, 2026 and June 30, 2025, zero and two investments were transferred out of Level 3,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quantitative information about Level 3 fair value measurements of our investments, as of June 30, 2026 (dollars in thousands):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1"/>
        <w:gridCol w:w="90"/>
        <w:gridCol w:w="181"/>
        <w:gridCol w:w="889"/>
        <w:gridCol w:w="90"/>
        <w:gridCol w:w="90"/>
        <w:gridCol w:w="1631"/>
        <w:gridCol w:w="90"/>
        <w:gridCol w:w="1699"/>
        <w:gridCol w:w="90"/>
        <w:gridCol w:w="1637"/>
        <w:gridCol w:w="90"/>
        <w:gridCol w:w="1327"/>
      </w:tblGrid>
      <w:tr>
        <w:trPr/>
        <w:tc>
          <w:tcPr>
            <w:tcW w:w="2301"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1"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Valuation </w:t>
              <w:br/>
              <w:t>Methodology</w:t>
            </w:r>
          </w:p>
        </w:tc>
        <w:tc>
          <w:tcPr>
            <w:tcW w:w="90" w:type="dxa"/>
            <w:tcBorders/>
            <w:vAlign w:val="center"/>
          </w:tcPr>
          <w:p>
            <w:pPr>
              <w:pStyle w:val="TableContents"/>
              <w:bidi w:val="0"/>
              <w:spacing w:before="0" w:after="283"/>
              <w:jc w:val="left"/>
              <w:rPr/>
            </w:pPr>
            <w:r>
              <w:rPr/>
              <w:t> </w:t>
            </w:r>
          </w:p>
        </w:tc>
        <w:tc>
          <w:tcPr>
            <w:tcW w:w="1699"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Unobservable </w:t>
              <w:br/>
              <w:t>Input</w:t>
            </w:r>
          </w:p>
        </w:tc>
        <w:tc>
          <w:tcPr>
            <w:tcW w:w="90" w:type="dxa"/>
            <w:tcBorders/>
            <w:vAlign w:val="center"/>
          </w:tcPr>
          <w:p>
            <w:pPr>
              <w:pStyle w:val="TableContents"/>
              <w:bidi w:val="0"/>
              <w:spacing w:before="0" w:after="283"/>
              <w:jc w:val="left"/>
              <w:rPr/>
            </w:pPr>
            <w:r>
              <w:rPr/>
              <w:t> </w:t>
            </w:r>
          </w:p>
        </w:tc>
        <w:tc>
          <w:tcPr>
            <w:tcW w:w="1637"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Range </w:t>
              <w:br/>
              <w:t>(Weighted Average)</w:t>
            </w:r>
          </w:p>
        </w:tc>
        <w:tc>
          <w:tcPr>
            <w:tcW w:w="90" w:type="dxa"/>
            <w:tcBorders/>
            <w:vAlign w:val="center"/>
          </w:tcPr>
          <w:p>
            <w:pPr>
              <w:pStyle w:val="TableContents"/>
              <w:bidi w:val="0"/>
              <w:spacing w:before="0" w:after="283"/>
              <w:jc w:val="left"/>
              <w:rPr/>
            </w:pPr>
            <w:r>
              <w:rPr/>
              <w:t> </w:t>
            </w:r>
          </w:p>
        </w:tc>
        <w:tc>
          <w:tcPr>
            <w:tcW w:w="1327" w:type="dxa"/>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Impact to</w:t>
              <w:br/>
              <w:t>Valuation From</w:t>
              <w:br/>
              <w:t>An Increase In</w:t>
              <w:br/>
              <w:t>Input</w:t>
            </w:r>
          </w:p>
        </w:tc>
      </w:tr>
      <w:tr>
        <w:trPr/>
        <w:tc>
          <w:tcPr>
            <w:tcW w:w="2301"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79,635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left"/>
              <w:rPr/>
            </w:pPr>
            <w:r>
              <w:rPr/>
              <w:t>Income Approach</w:t>
            </w:r>
          </w:p>
        </w:tc>
        <w:tc>
          <w:tcPr>
            <w:tcW w:w="90"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left"/>
              <w:rPr/>
            </w:pPr>
            <w:r>
              <w:rPr/>
              <w:t>Market Yield</w:t>
            </w:r>
          </w:p>
        </w:tc>
        <w:tc>
          <w:tcPr>
            <w:tcW w:w="90"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center"/>
              <w:rPr/>
            </w:pPr>
            <w:r>
              <w:rPr/>
              <w:t>5.0% - 19.2% (12.3%)</w:t>
            </w:r>
          </w:p>
        </w:tc>
        <w:tc>
          <w:tcPr>
            <w:tcW w:w="9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ind w:left="0" w:right="0" w:hanging="180"/>
              <w:jc w:val="center"/>
              <w:rPr/>
            </w:pPr>
            <w:r>
              <w:rPr/>
              <w:t>Decrease</w:t>
            </w:r>
          </w:p>
        </w:tc>
      </w:tr>
      <w:tr>
        <w:trPr/>
        <w:tc>
          <w:tcPr>
            <w:tcW w:w="2301" w:type="dxa"/>
            <w:tcBorders/>
            <w:vAlign w:val="center"/>
          </w:tcPr>
          <w:p>
            <w:pPr>
              <w:pStyle w:val="TableContents"/>
              <w:bidi w:val="0"/>
              <w:spacing w:before="0" w:after="283"/>
              <w:jc w:val="left"/>
              <w:rPr/>
            </w:pPr>
            <w:r>
              <w:rPr/>
              <w:t>Senior Secured First Lien Term Loans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right"/>
              <w:rPr/>
            </w:pPr>
            <w:r>
              <w:rPr/>
              <w:t>11,027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pPr>
            <w:r>
              <w:rPr/>
              <w:t>Market Approach</w:t>
            </w:r>
          </w:p>
        </w:tc>
        <w:tc>
          <w:tcPr>
            <w:tcW w:w="90" w:type="dxa"/>
            <w:tcBorders/>
            <w:vAlign w:val="center"/>
          </w:tcPr>
          <w:p>
            <w:pPr>
              <w:pStyle w:val="TableContents"/>
              <w:bidi w:val="0"/>
              <w:spacing w:before="0" w:after="283"/>
              <w:jc w:val="left"/>
              <w:rPr/>
            </w:pPr>
            <w:r>
              <w:rPr/>
              <w:t> </w:t>
            </w:r>
          </w:p>
        </w:tc>
        <w:tc>
          <w:tcPr>
            <w:tcW w:w="1699" w:type="dxa"/>
            <w:tcBorders/>
            <w:vAlign w:val="center"/>
          </w:tcPr>
          <w:p>
            <w:pPr>
              <w:pStyle w:val="TableContents"/>
              <w:bidi w:val="0"/>
              <w:spacing w:before="0" w:after="283"/>
              <w:jc w:val="left"/>
              <w:rPr/>
            </w:pPr>
            <w:r>
              <w:rPr/>
              <w:t>EBITDA Multiple</w:t>
            </w:r>
          </w:p>
        </w:tc>
        <w:tc>
          <w:tcPr>
            <w:tcW w:w="90"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center"/>
              <w:rPr/>
            </w:pPr>
            <w:r>
              <w:rPr/>
              <w:t>3.1x - 5.5x (3.6x)</w:t>
            </w:r>
          </w:p>
        </w:tc>
        <w:tc>
          <w:tcPr>
            <w:tcW w:w="90"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ind w:left="0" w:right="0" w:hanging="180"/>
              <w:jc w:val="center"/>
              <w:rPr/>
            </w:pPr>
            <w:r>
              <w:rPr/>
              <w:t>Increase</w:t>
            </w:r>
          </w:p>
        </w:tc>
      </w:tr>
      <w:tr>
        <w:trPr/>
        <w:tc>
          <w:tcPr>
            <w:tcW w:w="2301"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7,535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left"/>
              <w:rPr/>
            </w:pPr>
            <w:r>
              <w:rPr/>
              <w:t>Recent Transaction</w:t>
            </w:r>
          </w:p>
        </w:tc>
        <w:tc>
          <w:tcPr>
            <w:tcW w:w="90"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left"/>
              <w:rPr/>
            </w:pPr>
            <w:r>
              <w:rPr/>
              <w:t>Purchase Price</w:t>
            </w:r>
          </w:p>
        </w:tc>
        <w:tc>
          <w:tcPr>
            <w:tcW w:w="90"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center"/>
              <w:rPr/>
            </w:pPr>
            <w:r>
              <w:rPr/>
              <w:t>N/A</w:t>
            </w:r>
          </w:p>
        </w:tc>
        <w:tc>
          <w:tcPr>
            <w:tcW w:w="9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ind w:left="0" w:right="0" w:hanging="180"/>
              <w:jc w:val="center"/>
              <w:rPr/>
            </w:pPr>
            <w:r>
              <w:rPr/>
              <w:t>N/A</w:t>
            </w:r>
          </w:p>
        </w:tc>
      </w:tr>
      <w:tr>
        <w:trPr/>
        <w:tc>
          <w:tcPr>
            <w:tcW w:w="2301" w:type="dxa"/>
            <w:tcBorders/>
            <w:vAlign w:val="center"/>
          </w:tcPr>
          <w:p>
            <w:pPr>
              <w:pStyle w:val="TableContents"/>
              <w:bidi w:val="0"/>
              <w:spacing w:before="0" w:after="283"/>
              <w:jc w:val="left"/>
              <w:rPr/>
            </w:pPr>
            <w:r>
              <w:rPr/>
              <w:t>Senior Secured Notes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right"/>
              <w:rPr/>
            </w:pPr>
            <w:r>
              <w:rPr/>
              <w:t>6,997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pPr>
            <w:r>
              <w:rPr/>
              <w:t>Cost Approach</w:t>
            </w:r>
          </w:p>
        </w:tc>
        <w:tc>
          <w:tcPr>
            <w:tcW w:w="90" w:type="dxa"/>
            <w:tcBorders/>
            <w:vAlign w:val="center"/>
          </w:tcPr>
          <w:p>
            <w:pPr>
              <w:pStyle w:val="TableContents"/>
              <w:bidi w:val="0"/>
              <w:spacing w:before="0" w:after="283"/>
              <w:jc w:val="left"/>
              <w:rPr/>
            </w:pPr>
            <w:r>
              <w:rPr/>
              <w:t> </w:t>
            </w:r>
          </w:p>
        </w:tc>
        <w:tc>
          <w:tcPr>
            <w:tcW w:w="1699" w:type="dxa"/>
            <w:tcBorders/>
            <w:vAlign w:val="center"/>
          </w:tcPr>
          <w:p>
            <w:pPr>
              <w:pStyle w:val="TableContents"/>
              <w:bidi w:val="0"/>
              <w:spacing w:before="0" w:after="283"/>
              <w:jc w:val="left"/>
              <w:rPr/>
            </w:pPr>
            <w:r>
              <w:rPr/>
              <w:t>Collateral Value</w:t>
            </w:r>
          </w:p>
        </w:tc>
        <w:tc>
          <w:tcPr>
            <w:tcW w:w="90"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center"/>
              <w:rPr/>
            </w:pPr>
            <w:r>
              <w:rPr/>
              <w:t>N/A</w:t>
            </w:r>
          </w:p>
        </w:tc>
        <w:tc>
          <w:tcPr>
            <w:tcW w:w="90"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ind w:left="0" w:right="0" w:hanging="180"/>
              <w:jc w:val="center"/>
              <w:rPr/>
            </w:pPr>
            <w:r>
              <w:rPr/>
              <w:t>N/A</w:t>
            </w:r>
          </w:p>
        </w:tc>
      </w:tr>
      <w:tr>
        <w:trPr/>
        <w:tc>
          <w:tcPr>
            <w:tcW w:w="2301" w:type="dxa"/>
            <w:tcBorders/>
            <w:shd w:fill="CCEEFF" w:val="clear"/>
            <w:vAlign w:val="center"/>
          </w:tcPr>
          <w:p>
            <w:pPr>
              <w:pStyle w:val="TableContents"/>
              <w:bidi w:val="0"/>
              <w:spacing w:before="0" w:after="283"/>
              <w:jc w:val="left"/>
              <w:rPr/>
            </w:pPr>
            <w:r>
              <w:rPr/>
              <w:t>Equity/Warrants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left"/>
              <w:rPr/>
            </w:pPr>
            <w:r>
              <w:rPr/>
              <w:t>Market Approach</w:t>
            </w:r>
          </w:p>
        </w:tc>
        <w:tc>
          <w:tcPr>
            <w:tcW w:w="90"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left"/>
              <w:rPr/>
            </w:pPr>
            <w:r>
              <w:rPr/>
              <w:t>Price/TBV Multiple</w:t>
            </w:r>
          </w:p>
        </w:tc>
        <w:tc>
          <w:tcPr>
            <w:tcW w:w="90"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1.1x -2x (1.7x)</w:t>
            </w:r>
          </w:p>
        </w:tc>
        <w:tc>
          <w:tcPr>
            <w:tcW w:w="9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ind w:left="0" w:right="0" w:hanging="180"/>
              <w:jc w:val="center"/>
              <w:rPr/>
            </w:pPr>
            <w:r>
              <w:rPr/>
              <w:t>Increase</w:t>
            </w:r>
          </w:p>
        </w:tc>
      </w:tr>
      <w:tr>
        <w:trPr/>
        <w:tc>
          <w:tcPr>
            <w:tcW w:w="2301"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pPr>
            <w:r>
              <w:rPr/>
              <w:t>Cost Approach</w:t>
            </w:r>
          </w:p>
        </w:tc>
        <w:tc>
          <w:tcPr>
            <w:tcW w:w="90" w:type="dxa"/>
            <w:tcBorders/>
            <w:vAlign w:val="center"/>
          </w:tcPr>
          <w:p>
            <w:pPr>
              <w:pStyle w:val="TableContents"/>
              <w:bidi w:val="0"/>
              <w:spacing w:before="0" w:after="283"/>
              <w:jc w:val="left"/>
              <w:rPr/>
            </w:pPr>
            <w:r>
              <w:rPr/>
              <w:t> </w:t>
            </w:r>
          </w:p>
        </w:tc>
        <w:tc>
          <w:tcPr>
            <w:tcW w:w="1699" w:type="dxa"/>
            <w:tcBorders/>
            <w:vAlign w:val="center"/>
          </w:tcPr>
          <w:p>
            <w:pPr>
              <w:pStyle w:val="TableContents"/>
              <w:bidi w:val="0"/>
              <w:spacing w:before="0" w:after="283"/>
              <w:jc w:val="left"/>
              <w:rPr/>
            </w:pPr>
            <w:r>
              <w:rPr/>
              <w:t>Replacement Cost</w:t>
            </w:r>
          </w:p>
        </w:tc>
        <w:tc>
          <w:tcPr>
            <w:tcW w:w="90"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center"/>
              <w:rPr/>
            </w:pPr>
            <w:r>
              <w:rPr/>
              <w:t>N/A</w:t>
            </w:r>
          </w:p>
        </w:tc>
        <w:tc>
          <w:tcPr>
            <w:tcW w:w="90"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ind w:left="0" w:right="0" w:hanging="180"/>
              <w:jc w:val="center"/>
              <w:rPr/>
            </w:pPr>
            <w:r>
              <w:rPr/>
              <w:t>N/A</w:t>
            </w:r>
          </w:p>
        </w:tc>
      </w:tr>
      <w:tr>
        <w:trPr/>
        <w:tc>
          <w:tcPr>
            <w:tcW w:w="2301" w:type="dxa"/>
            <w:tcBorders/>
            <w:shd w:fill="CCEEFF" w:val="clear"/>
            <w:vAlign w:val="center"/>
          </w:tcPr>
          <w:p>
            <w:pPr>
              <w:pStyle w:val="TableContents"/>
              <w:bidi w:val="0"/>
              <w:spacing w:before="0" w:after="283"/>
              <w:jc w:val="left"/>
              <w:rPr/>
            </w:pPr>
            <w:r>
              <w:rPr/>
              <w:t>Equity/Warrants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32,665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left"/>
              <w:rPr/>
            </w:pPr>
            <w:r>
              <w:rPr/>
              <w:t>Market Approach</w:t>
            </w:r>
          </w:p>
        </w:tc>
        <w:tc>
          <w:tcPr>
            <w:tcW w:w="90"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left"/>
              <w:rPr/>
            </w:pPr>
            <w:r>
              <w:rPr/>
              <w:t>EBITDA Multiple</w:t>
            </w:r>
          </w:p>
        </w:tc>
        <w:tc>
          <w:tcPr>
            <w:tcW w:w="90"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center"/>
              <w:rPr/>
            </w:pPr>
            <w:r>
              <w:rPr/>
              <w:t>3.1x - 11.0x (8.8x)</w:t>
            </w:r>
          </w:p>
        </w:tc>
        <w:tc>
          <w:tcPr>
            <w:tcW w:w="9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ind w:left="0" w:right="0" w:hanging="180"/>
              <w:jc w:val="center"/>
              <w:rPr/>
            </w:pPr>
            <w:r>
              <w:rPr/>
              <w:t>Increase</w:t>
            </w:r>
          </w:p>
        </w:tc>
      </w:tr>
      <w:tr>
        <w:trPr/>
        <w:tc>
          <w:tcPr>
            <w:tcW w:w="2301"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pPr>
            <w:r>
              <w:rPr/>
              <w:t>Income Approach</w:t>
            </w:r>
          </w:p>
        </w:tc>
        <w:tc>
          <w:tcPr>
            <w:tcW w:w="90" w:type="dxa"/>
            <w:tcBorders/>
            <w:vAlign w:val="center"/>
          </w:tcPr>
          <w:p>
            <w:pPr>
              <w:pStyle w:val="TableContents"/>
              <w:bidi w:val="0"/>
              <w:spacing w:before="0" w:after="283"/>
              <w:jc w:val="left"/>
              <w:rPr/>
            </w:pPr>
            <w:r>
              <w:rPr/>
              <w:t> </w:t>
            </w:r>
          </w:p>
        </w:tc>
        <w:tc>
          <w:tcPr>
            <w:tcW w:w="1699" w:type="dxa"/>
            <w:tcBorders/>
            <w:vAlign w:val="center"/>
          </w:tcPr>
          <w:p>
            <w:pPr>
              <w:pStyle w:val="TableContents"/>
              <w:bidi w:val="0"/>
              <w:spacing w:before="0" w:after="283"/>
              <w:jc w:val="left"/>
              <w:rPr/>
            </w:pPr>
            <w:r>
              <w:rPr/>
              <w:t>Market Yield</w:t>
            </w:r>
          </w:p>
        </w:tc>
        <w:tc>
          <w:tcPr>
            <w:tcW w:w="90"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- 16.5% (12.3%)</w:t>
            </w:r>
          </w:p>
        </w:tc>
        <w:tc>
          <w:tcPr>
            <w:tcW w:w="90"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ind w:left="0" w:right="0" w:hanging="180"/>
              <w:jc w:val="center"/>
              <w:rPr/>
            </w:pPr>
            <w:r>
              <w:rPr/>
              <w:t>Decrease</w:t>
            </w:r>
          </w:p>
        </w:tc>
      </w:tr>
      <w:tr>
        <w:trPr/>
        <w:tc>
          <w:tcPr>
            <w:tcW w:w="2301" w:type="dxa"/>
            <w:tcBorders/>
            <w:shd w:fill="CCEEFF" w:val="clear"/>
            <w:vAlign w:val="center"/>
          </w:tcPr>
          <w:p>
            <w:pPr>
              <w:pStyle w:val="TableContents"/>
              <w:bidi w:val="0"/>
              <w:spacing w:before="0" w:after="283"/>
              <w:jc w:val="left"/>
              <w:rPr/>
            </w:pPr>
            <w:r>
              <w:rPr/>
              <w:t>Equity/Warrants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6,626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left"/>
              <w:rPr/>
            </w:pPr>
            <w:r>
              <w:rPr/>
              <w:t>Market Approach</w:t>
            </w:r>
          </w:p>
        </w:tc>
        <w:tc>
          <w:tcPr>
            <w:tcW w:w="90"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left"/>
              <w:rPr/>
            </w:pPr>
            <w:r>
              <w:rPr/>
              <w:t>Revenue Multiple</w:t>
            </w:r>
          </w:p>
        </w:tc>
        <w:tc>
          <w:tcPr>
            <w:tcW w:w="90"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center"/>
              <w:rPr/>
            </w:pPr>
            <w:r>
              <w:rPr/>
              <w:t>3.3x - 4.3x (3.8x)</w:t>
            </w:r>
          </w:p>
        </w:tc>
        <w:tc>
          <w:tcPr>
            <w:tcW w:w="9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ind w:left="0" w:right="0" w:hanging="180"/>
              <w:jc w:val="center"/>
              <w:rPr/>
            </w:pPr>
            <w:r>
              <w:rPr/>
              <w:t>Increase</w:t>
            </w:r>
          </w:p>
        </w:tc>
      </w:tr>
      <w:tr>
        <w:trPr/>
        <w:tc>
          <w:tcPr>
            <w:tcW w:w="2301"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181" w:type="dxa"/>
            <w:tcBorders>
              <w:bottom w:val="single" w:sz="12" w:space="0" w:color="000000"/>
            </w:tcBorders>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tcMar>
              <w:bottom w:w="28" w:type="dxa"/>
            </w:tcMar>
            <w:vAlign w:val="center"/>
          </w:tcPr>
          <w:p>
            <w:pPr>
              <w:pStyle w:val="TableContents"/>
              <w:bidi w:val="0"/>
              <w:spacing w:before="0" w:after="283"/>
              <w:jc w:val="right"/>
              <w:rPr/>
            </w:pPr>
            <w:r>
              <w:rPr/>
              <w:t>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pPr>
            <w:r>
              <w:rPr/>
              <w:t>Cost Approach</w:t>
            </w:r>
          </w:p>
        </w:tc>
        <w:tc>
          <w:tcPr>
            <w:tcW w:w="90" w:type="dxa"/>
            <w:tcBorders/>
            <w:vAlign w:val="center"/>
          </w:tcPr>
          <w:p>
            <w:pPr>
              <w:pStyle w:val="TableContents"/>
              <w:bidi w:val="0"/>
              <w:spacing w:before="0" w:after="283"/>
              <w:jc w:val="left"/>
              <w:rPr/>
            </w:pPr>
            <w:r>
              <w:rPr/>
              <w:t> </w:t>
            </w:r>
          </w:p>
        </w:tc>
        <w:tc>
          <w:tcPr>
            <w:tcW w:w="1699" w:type="dxa"/>
            <w:tcBorders/>
            <w:vAlign w:val="center"/>
          </w:tcPr>
          <w:p>
            <w:pPr>
              <w:pStyle w:val="TableContents"/>
              <w:bidi w:val="0"/>
              <w:spacing w:before="0" w:after="283"/>
              <w:jc w:val="left"/>
              <w:rPr/>
            </w:pPr>
            <w:r>
              <w:rPr/>
              <w:t>Collateral Value</w:t>
            </w:r>
          </w:p>
        </w:tc>
        <w:tc>
          <w:tcPr>
            <w:tcW w:w="90"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center"/>
              <w:rPr/>
            </w:pPr>
            <w:r>
              <w:rPr/>
              <w:t>N/A</w:t>
            </w:r>
          </w:p>
        </w:tc>
        <w:tc>
          <w:tcPr>
            <w:tcW w:w="90"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ind w:left="0" w:right="0" w:hanging="180"/>
              <w:jc w:val="center"/>
              <w:rPr/>
            </w:pPr>
            <w:r>
              <w:rPr/>
              <w:t>N/A</w:t>
            </w:r>
          </w:p>
        </w:tc>
      </w:tr>
      <w:tr>
        <w:trPr/>
        <w:tc>
          <w:tcPr>
            <w:tcW w:w="2301"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8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245,565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quantitative information about Level 3 fair value measurements of our investments, as of September 30, 2025 (dollars in thousands):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5"/>
        <w:gridCol w:w="90"/>
        <w:gridCol w:w="181"/>
        <w:gridCol w:w="889"/>
        <w:gridCol w:w="90"/>
        <w:gridCol w:w="90"/>
        <w:gridCol w:w="1632"/>
        <w:gridCol w:w="90"/>
        <w:gridCol w:w="1632"/>
        <w:gridCol w:w="90"/>
        <w:gridCol w:w="1699"/>
        <w:gridCol w:w="90"/>
        <w:gridCol w:w="1327"/>
      </w:tblGrid>
      <w:tr>
        <w:trPr/>
        <w:tc>
          <w:tcPr>
            <w:tcW w:w="230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2"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Valuation </w:t>
              <w:br/>
              <w:t>Methodology</w:t>
            </w:r>
          </w:p>
        </w:tc>
        <w:tc>
          <w:tcPr>
            <w:tcW w:w="90" w:type="dxa"/>
            <w:tcBorders/>
            <w:vAlign w:val="center"/>
          </w:tcPr>
          <w:p>
            <w:pPr>
              <w:pStyle w:val="TableContents"/>
              <w:bidi w:val="0"/>
              <w:spacing w:before="0" w:after="283"/>
              <w:jc w:val="left"/>
              <w:rPr/>
            </w:pPr>
            <w:r>
              <w:rPr/>
              <w:t> </w:t>
            </w:r>
          </w:p>
        </w:tc>
        <w:tc>
          <w:tcPr>
            <w:tcW w:w="1632"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Unobservable </w:t>
              <w:br/>
              <w:t>Input</w:t>
            </w:r>
          </w:p>
        </w:tc>
        <w:tc>
          <w:tcPr>
            <w:tcW w:w="90" w:type="dxa"/>
            <w:tcBorders/>
            <w:vAlign w:val="center"/>
          </w:tcPr>
          <w:p>
            <w:pPr>
              <w:pStyle w:val="TableContents"/>
              <w:bidi w:val="0"/>
              <w:spacing w:before="0" w:after="283"/>
              <w:jc w:val="left"/>
              <w:rPr/>
            </w:pPr>
            <w:r>
              <w:rPr/>
              <w:t> </w:t>
            </w:r>
          </w:p>
        </w:tc>
        <w:tc>
          <w:tcPr>
            <w:tcW w:w="1699"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Range </w:t>
              <w:br/>
              <w:t>(Weighted Average)</w:t>
            </w:r>
          </w:p>
        </w:tc>
        <w:tc>
          <w:tcPr>
            <w:tcW w:w="90" w:type="dxa"/>
            <w:tcBorders/>
            <w:vAlign w:val="center"/>
          </w:tcPr>
          <w:p>
            <w:pPr>
              <w:pStyle w:val="TableContents"/>
              <w:bidi w:val="0"/>
              <w:spacing w:before="0" w:after="283"/>
              <w:jc w:val="left"/>
              <w:rPr/>
            </w:pPr>
            <w:r>
              <w:rPr/>
              <w:t> </w:t>
            </w:r>
          </w:p>
        </w:tc>
        <w:tc>
          <w:tcPr>
            <w:tcW w:w="1327" w:type="dxa"/>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Impact to</w:t>
              <w:br/>
              <w:t>Valuation From</w:t>
              <w:br/>
              <w:t>An Increase In</w:t>
              <w:br/>
              <w:t>Input</w:t>
            </w:r>
          </w:p>
        </w:tc>
      </w:tr>
      <w:tr>
        <w:trPr/>
        <w:tc>
          <w:tcPr>
            <w:tcW w:w="2305"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74,485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left"/>
              <w:rPr/>
            </w:pPr>
            <w:r>
              <w:rPr/>
              <w:t>Income Approach</w:t>
            </w:r>
          </w:p>
        </w:tc>
        <w:tc>
          <w:tcPr>
            <w:tcW w:w="9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left"/>
              <w:rPr/>
            </w:pPr>
            <w:r>
              <w:rPr/>
              <w:t>Market Yield</w:t>
            </w:r>
          </w:p>
        </w:tc>
        <w:tc>
          <w:tcPr>
            <w:tcW w:w="90"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center"/>
              <w:rPr/>
            </w:pPr>
            <w:r>
              <w:rPr/>
              <w:t>3.3% - 14.5% (10.0%)</w:t>
            </w:r>
          </w:p>
        </w:tc>
        <w:tc>
          <w:tcPr>
            <w:tcW w:w="9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ind w:left="0" w:right="0" w:hanging="180"/>
              <w:jc w:val="center"/>
              <w:rPr/>
            </w:pPr>
            <w:r>
              <w:rPr/>
              <w:t>Decrease</w:t>
            </w:r>
          </w:p>
        </w:tc>
      </w:tr>
      <w:tr>
        <w:trPr/>
        <w:tc>
          <w:tcPr>
            <w:tcW w:w="2305" w:type="dxa"/>
            <w:tcBorders/>
            <w:vAlign w:val="center"/>
          </w:tcPr>
          <w:p>
            <w:pPr>
              <w:pStyle w:val="TableContents"/>
              <w:bidi w:val="0"/>
              <w:spacing w:before="0" w:after="283"/>
              <w:jc w:val="left"/>
              <w:rPr/>
            </w:pPr>
            <w:r>
              <w:rPr/>
              <w:t>Senior Secured First Lien Term Loans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right"/>
              <w:rPr/>
            </w:pPr>
            <w:r>
              <w:rPr/>
              <w:t>13,428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Market Approach</w:t>
            </w:r>
          </w:p>
        </w:tc>
        <w:tc>
          <w:tcPr>
            <w:tcW w:w="9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EBITDA Multiple</w:t>
            </w:r>
          </w:p>
        </w:tc>
        <w:tc>
          <w:tcPr>
            <w:tcW w:w="90" w:type="dxa"/>
            <w:tcBorders/>
            <w:vAlign w:val="center"/>
          </w:tcPr>
          <w:p>
            <w:pPr>
              <w:pStyle w:val="TableContents"/>
              <w:bidi w:val="0"/>
              <w:spacing w:before="0" w:after="283"/>
              <w:jc w:val="left"/>
              <w:rPr/>
            </w:pPr>
            <w:r>
              <w:rPr/>
              <w:t> </w:t>
            </w:r>
          </w:p>
        </w:tc>
        <w:tc>
          <w:tcPr>
            <w:tcW w:w="1699" w:type="dxa"/>
            <w:tcBorders/>
            <w:vAlign w:val="center"/>
          </w:tcPr>
          <w:p>
            <w:pPr>
              <w:pStyle w:val="TableContents"/>
              <w:bidi w:val="0"/>
              <w:spacing w:before="0" w:after="283"/>
              <w:jc w:val="center"/>
              <w:rPr/>
            </w:pPr>
            <w:r>
              <w:rPr/>
              <w:t>1.8x - 2.8x (2.3x)</w:t>
            </w:r>
          </w:p>
        </w:tc>
        <w:tc>
          <w:tcPr>
            <w:tcW w:w="90"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ind w:left="0" w:right="0" w:hanging="180"/>
              <w:jc w:val="center"/>
              <w:rPr/>
            </w:pPr>
            <w:r>
              <w:rPr/>
              <w:t>Increase</w:t>
            </w:r>
          </w:p>
        </w:tc>
      </w:tr>
      <w:tr>
        <w:trPr/>
        <w:tc>
          <w:tcPr>
            <w:tcW w:w="2305"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997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left"/>
              <w:rPr/>
            </w:pPr>
            <w:r>
              <w:rPr/>
              <w:t>Market Approach</w:t>
            </w:r>
          </w:p>
        </w:tc>
        <w:tc>
          <w:tcPr>
            <w:tcW w:w="9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left"/>
              <w:rPr/>
            </w:pPr>
            <w:r>
              <w:rPr/>
              <w:t>Market Spread</w:t>
            </w:r>
          </w:p>
        </w:tc>
        <w:tc>
          <w:tcPr>
            <w:tcW w:w="90"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center"/>
              <w:rPr/>
            </w:pPr>
            <w:r>
              <w:rPr/>
              <w:t>4.8% - 5.5% (5.1%)</w:t>
            </w:r>
          </w:p>
        </w:tc>
        <w:tc>
          <w:tcPr>
            <w:tcW w:w="9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ind w:left="0" w:right="0" w:hanging="180"/>
              <w:jc w:val="center"/>
              <w:rPr/>
            </w:pPr>
            <w:r>
              <w:rPr/>
              <w:t>Increase</w:t>
            </w:r>
          </w:p>
        </w:tc>
      </w:tr>
      <w:tr>
        <w:trPr/>
        <w:tc>
          <w:tcPr>
            <w:tcW w:w="2305" w:type="dxa"/>
            <w:tcBorders/>
            <w:vAlign w:val="center"/>
          </w:tcPr>
          <w:p>
            <w:pPr>
              <w:pStyle w:val="TableContents"/>
              <w:bidi w:val="0"/>
              <w:spacing w:before="0" w:after="283"/>
              <w:jc w:val="left"/>
              <w:rPr/>
            </w:pPr>
            <w:r>
              <w:rPr/>
              <w:t>Senior Secured First Lien Term Loans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right"/>
              <w:rPr/>
            </w:pPr>
            <w:r>
              <w:rPr/>
              <w:t>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Recent Transaction</w:t>
            </w:r>
          </w:p>
        </w:tc>
        <w:tc>
          <w:tcPr>
            <w:tcW w:w="9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Purchase Price</w:t>
            </w:r>
          </w:p>
        </w:tc>
        <w:tc>
          <w:tcPr>
            <w:tcW w:w="90" w:type="dxa"/>
            <w:tcBorders/>
            <w:vAlign w:val="center"/>
          </w:tcPr>
          <w:p>
            <w:pPr>
              <w:pStyle w:val="TableContents"/>
              <w:bidi w:val="0"/>
              <w:spacing w:before="0" w:after="283"/>
              <w:jc w:val="left"/>
              <w:rPr/>
            </w:pPr>
            <w:r>
              <w:rPr/>
              <w:t> </w:t>
            </w:r>
          </w:p>
        </w:tc>
        <w:tc>
          <w:tcPr>
            <w:tcW w:w="1699" w:type="dxa"/>
            <w:tcBorders/>
            <w:vAlign w:val="center"/>
          </w:tcPr>
          <w:p>
            <w:pPr>
              <w:pStyle w:val="TableContents"/>
              <w:bidi w:val="0"/>
              <w:spacing w:before="0" w:after="283"/>
              <w:jc w:val="center"/>
              <w:rPr/>
            </w:pPr>
            <w:r>
              <w:rPr/>
              <w:t>N/A</w:t>
            </w:r>
          </w:p>
        </w:tc>
        <w:tc>
          <w:tcPr>
            <w:tcW w:w="90"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ind w:left="0" w:right="0" w:hanging="180"/>
              <w:jc w:val="center"/>
              <w:rPr/>
            </w:pPr>
            <w:r>
              <w:rPr/>
              <w:t>N/A</w:t>
            </w:r>
          </w:p>
        </w:tc>
      </w:tr>
      <w:tr>
        <w:trPr/>
        <w:tc>
          <w:tcPr>
            <w:tcW w:w="2305" w:type="dxa"/>
            <w:tcBorders/>
            <w:shd w:fill="CCEEFF" w:val="clear"/>
            <w:vAlign w:val="center"/>
          </w:tcPr>
          <w:p>
            <w:pPr>
              <w:pStyle w:val="TableContents"/>
              <w:bidi w:val="0"/>
              <w:spacing w:before="0" w:after="283"/>
              <w:jc w:val="left"/>
              <w:rPr/>
            </w:pPr>
            <w:r>
              <w:rPr/>
              <w:t>Senior Secured Notes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6,997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left"/>
              <w:rPr/>
            </w:pPr>
            <w:r>
              <w:rPr/>
              <w:t>Cost Approach</w:t>
            </w:r>
          </w:p>
        </w:tc>
        <w:tc>
          <w:tcPr>
            <w:tcW w:w="9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left"/>
              <w:rPr/>
            </w:pPr>
            <w:r>
              <w:rPr/>
              <w:t>Collateral Value</w:t>
            </w:r>
          </w:p>
        </w:tc>
        <w:tc>
          <w:tcPr>
            <w:tcW w:w="90"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center"/>
              <w:rPr/>
            </w:pPr>
            <w:r>
              <w:rPr/>
              <w:t>N/A</w:t>
            </w:r>
          </w:p>
        </w:tc>
        <w:tc>
          <w:tcPr>
            <w:tcW w:w="9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ind w:left="0" w:right="0" w:hanging="180"/>
              <w:jc w:val="center"/>
              <w:rPr/>
            </w:pPr>
            <w:r>
              <w:rPr/>
              <w:t>N/A</w:t>
            </w:r>
          </w:p>
        </w:tc>
      </w:tr>
      <w:tr>
        <w:trPr/>
        <w:tc>
          <w:tcPr>
            <w:tcW w:w="2305"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right"/>
              <w:rPr/>
            </w:pPr>
            <w:r>
              <w:rPr/>
              <w:t>78,255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Market Approach</w:t>
            </w:r>
          </w:p>
        </w:tc>
        <w:tc>
          <w:tcPr>
            <w:tcW w:w="9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EBITDA Multiple</w:t>
            </w:r>
          </w:p>
        </w:tc>
        <w:tc>
          <w:tcPr>
            <w:tcW w:w="90" w:type="dxa"/>
            <w:tcBorders/>
            <w:vAlign w:val="center"/>
          </w:tcPr>
          <w:p>
            <w:pPr>
              <w:pStyle w:val="TableContents"/>
              <w:bidi w:val="0"/>
              <w:spacing w:before="0" w:after="283"/>
              <w:jc w:val="left"/>
              <w:rPr/>
            </w:pPr>
            <w:r>
              <w:rPr/>
              <w:t> </w:t>
            </w:r>
          </w:p>
        </w:tc>
        <w:tc>
          <w:tcPr>
            <w:tcW w:w="1699" w:type="dxa"/>
            <w:tcBorders/>
            <w:vAlign w:val="center"/>
          </w:tcPr>
          <w:p>
            <w:pPr>
              <w:pStyle w:val="TableContents"/>
              <w:bidi w:val="0"/>
              <w:spacing w:before="0" w:after="283"/>
              <w:jc w:val="center"/>
              <w:rPr/>
            </w:pPr>
            <w:r>
              <w:rPr/>
              <w:t>1.3x - 13.0x (11.0x)</w:t>
            </w:r>
          </w:p>
        </w:tc>
        <w:tc>
          <w:tcPr>
            <w:tcW w:w="90"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ind w:left="0" w:right="0" w:hanging="180"/>
              <w:jc w:val="center"/>
              <w:rPr/>
            </w:pPr>
            <w:r>
              <w:rPr/>
              <w:t>Increase</w:t>
            </w:r>
          </w:p>
        </w:tc>
      </w:tr>
      <w:tr>
        <w:trPr/>
        <w:tc>
          <w:tcPr>
            <w:tcW w:w="2305" w:type="dxa"/>
            <w:tcBorders/>
            <w:shd w:fill="CCEEFF" w:val="clear"/>
            <w:vAlign w:val="center"/>
          </w:tcPr>
          <w:p>
            <w:pPr>
              <w:pStyle w:val="TableContents"/>
              <w:bidi w:val="0"/>
              <w:spacing w:before="0" w:after="283"/>
              <w:jc w:val="left"/>
              <w:rPr/>
            </w:pPr>
            <w:r>
              <w:rPr/>
              <w:t>Equity/Warrants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37,181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left"/>
              <w:rPr/>
            </w:pPr>
            <w:r>
              <w:rPr/>
              <w:t>Cost Approach</w:t>
            </w:r>
          </w:p>
        </w:tc>
        <w:tc>
          <w:tcPr>
            <w:tcW w:w="9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left"/>
              <w:rPr/>
            </w:pPr>
            <w:r>
              <w:rPr/>
              <w:t>Replacement Cost</w:t>
            </w:r>
          </w:p>
        </w:tc>
        <w:tc>
          <w:tcPr>
            <w:tcW w:w="90"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center"/>
              <w:rPr/>
            </w:pPr>
            <w:r>
              <w:rPr/>
              <w:t>N/A</w:t>
            </w:r>
          </w:p>
        </w:tc>
        <w:tc>
          <w:tcPr>
            <w:tcW w:w="9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ind w:left="0" w:right="0" w:hanging="180"/>
              <w:jc w:val="center"/>
              <w:rPr/>
            </w:pPr>
            <w:r>
              <w:rPr/>
              <w:t>N/A</w:t>
            </w:r>
          </w:p>
        </w:tc>
      </w:tr>
      <w:tr>
        <w:trPr/>
        <w:tc>
          <w:tcPr>
            <w:tcW w:w="2305"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right"/>
              <w:rPr/>
            </w:pPr>
            <w:r>
              <w:rPr/>
              <w:t>3,948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Market Approach</w:t>
            </w:r>
          </w:p>
        </w:tc>
        <w:tc>
          <w:tcPr>
            <w:tcW w:w="9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Market Quote</w:t>
            </w:r>
          </w:p>
        </w:tc>
        <w:tc>
          <w:tcPr>
            <w:tcW w:w="90" w:type="dxa"/>
            <w:tcBorders/>
            <w:vAlign w:val="center"/>
          </w:tcPr>
          <w:p>
            <w:pPr>
              <w:pStyle w:val="TableContents"/>
              <w:bidi w:val="0"/>
              <w:spacing w:before="0" w:after="283"/>
              <w:jc w:val="left"/>
              <w:rPr/>
            </w:pPr>
            <w:r>
              <w:rPr/>
              <w:t> </w:t>
            </w:r>
          </w:p>
        </w:tc>
        <w:tc>
          <w:tcPr>
            <w:tcW w:w="1699" w:type="dxa"/>
            <w:tcBorders/>
            <w:vAlign w:val="center"/>
          </w:tcPr>
          <w:p>
            <w:pPr>
              <w:pStyle w:val="TableContents"/>
              <w:bidi w:val="0"/>
              <w:spacing w:before="0" w:after="283"/>
              <w:jc w:val="center"/>
              <w:rPr/>
            </w:pPr>
            <w:r>
              <w:rPr/>
              <w:t>N/A</w:t>
            </w:r>
          </w:p>
        </w:tc>
        <w:tc>
          <w:tcPr>
            <w:tcW w:w="90"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ind w:left="0" w:right="0" w:hanging="180"/>
              <w:jc w:val="center"/>
              <w:rPr/>
            </w:pPr>
            <w:r>
              <w:rPr/>
              <w:t>N/A</w:t>
            </w:r>
          </w:p>
        </w:tc>
      </w:tr>
      <w:tr>
        <w:trPr/>
        <w:tc>
          <w:tcPr>
            <w:tcW w:w="2305" w:type="dxa"/>
            <w:tcBorders/>
            <w:shd w:fill="CCEEFF" w:val="clear"/>
            <w:vAlign w:val="center"/>
          </w:tcPr>
          <w:p>
            <w:pPr>
              <w:pStyle w:val="TableContents"/>
              <w:bidi w:val="0"/>
              <w:spacing w:before="0" w:after="283"/>
              <w:jc w:val="left"/>
              <w:rPr/>
            </w:pPr>
            <w:r>
              <w:rPr/>
              <w:t>Equity/Warrants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left"/>
              <w:rPr/>
            </w:pPr>
            <w:r>
              <w:rPr/>
              <w:t>Market Approach</w:t>
            </w:r>
          </w:p>
        </w:tc>
        <w:tc>
          <w:tcPr>
            <w:tcW w:w="9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left"/>
              <w:rPr/>
            </w:pPr>
            <w:r>
              <w:rPr/>
              <w:t>Revenue Multiple</w:t>
            </w:r>
          </w:p>
        </w:tc>
        <w:tc>
          <w:tcPr>
            <w:tcW w:w="90"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center"/>
              <w:rPr/>
            </w:pPr>
            <w:r>
              <w:rPr/>
              <w:t>2.5x-3.0x (2.8x)</w:t>
            </w:r>
          </w:p>
        </w:tc>
        <w:tc>
          <w:tcPr>
            <w:tcW w:w="9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ind w:left="0" w:right="0" w:hanging="180"/>
              <w:jc w:val="center"/>
              <w:rPr/>
            </w:pPr>
            <w:r>
              <w:rPr/>
              <w:t>Increase</w:t>
            </w:r>
          </w:p>
        </w:tc>
      </w:tr>
      <w:tr>
        <w:trPr/>
        <w:tc>
          <w:tcPr>
            <w:tcW w:w="2305"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right"/>
              <w:rPr/>
            </w:pPr>
            <w:r>
              <w:rPr/>
              <w:t>2,725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Income Approach</w:t>
            </w:r>
          </w:p>
        </w:tc>
        <w:tc>
          <w:tcPr>
            <w:tcW w:w="9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Market Yield</w:t>
            </w:r>
          </w:p>
        </w:tc>
        <w:tc>
          <w:tcPr>
            <w:tcW w:w="90" w:type="dxa"/>
            <w:tcBorders/>
            <w:vAlign w:val="center"/>
          </w:tcPr>
          <w:p>
            <w:pPr>
              <w:pStyle w:val="TableContents"/>
              <w:bidi w:val="0"/>
              <w:spacing w:before="0" w:after="283"/>
              <w:jc w:val="left"/>
              <w:rPr/>
            </w:pPr>
            <w:r>
              <w:rPr/>
              <w:t> </w:t>
            </w:r>
          </w:p>
        </w:tc>
        <w:tc>
          <w:tcPr>
            <w:tcW w:w="1699" w:type="dxa"/>
            <w:tcBorders/>
            <w:vAlign w:val="center"/>
          </w:tcPr>
          <w:p>
            <w:pPr>
              <w:pStyle w:val="TableContents"/>
              <w:bidi w:val="0"/>
              <w:spacing w:before="0" w:after="283"/>
              <w:jc w:val="center"/>
              <w:rPr/>
            </w:pPr>
            <w:r>
              <w:rPr/>
              <w:t>28.3% - 28.8% (28.5%)</w:t>
            </w:r>
          </w:p>
        </w:tc>
        <w:tc>
          <w:tcPr>
            <w:tcW w:w="90"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ind w:left="0" w:right="0" w:hanging="180"/>
              <w:jc w:val="center"/>
              <w:rPr/>
            </w:pPr>
            <w:r>
              <w:rPr/>
              <w:t>Decrease</w:t>
            </w:r>
          </w:p>
        </w:tc>
      </w:tr>
      <w:tr>
        <w:trPr/>
        <w:tc>
          <w:tcPr>
            <w:tcW w:w="2305" w:type="dxa"/>
            <w:tcBorders/>
            <w:shd w:fill="CCEEFF" w:val="clear"/>
            <w:vAlign w:val="center"/>
          </w:tcPr>
          <w:p>
            <w:pPr>
              <w:pStyle w:val="TableContents"/>
              <w:bidi w:val="0"/>
              <w:spacing w:before="0" w:after="283"/>
              <w:jc w:val="left"/>
              <w:rPr/>
            </w:pPr>
            <w:r>
              <w:rPr/>
              <w:t>Equity/Warrants</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left"/>
              <w:rPr/>
            </w:pPr>
            <w:r>
              <w:rPr/>
              <w:t>Cost Approach</w:t>
            </w:r>
          </w:p>
        </w:tc>
        <w:tc>
          <w:tcPr>
            <w:tcW w:w="9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left"/>
              <w:rPr/>
            </w:pPr>
            <w:r>
              <w:rPr/>
              <w:t>Collateral Value</w:t>
            </w:r>
          </w:p>
        </w:tc>
        <w:tc>
          <w:tcPr>
            <w:tcW w:w="90"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center"/>
              <w:rPr/>
            </w:pPr>
            <w:r>
              <w:rPr/>
              <w:t>N/A</w:t>
            </w:r>
          </w:p>
        </w:tc>
        <w:tc>
          <w:tcPr>
            <w:tcW w:w="9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ind w:left="0" w:right="0" w:hanging="180"/>
              <w:jc w:val="center"/>
              <w:rPr/>
            </w:pPr>
            <w:r>
              <w:rPr/>
              <w:t>N/A</w:t>
            </w:r>
          </w:p>
        </w:tc>
      </w:tr>
      <w:tr>
        <w:trPr/>
        <w:tc>
          <w:tcPr>
            <w:tcW w:w="230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81"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89" w:type="dxa"/>
            <w:tcBorders>
              <w:bottom w:val="single" w:sz="12" w:space="0" w:color="000000"/>
            </w:tcBorders>
            <w:tcMar>
              <w:bottom w:w="28" w:type="dxa"/>
            </w:tcMar>
            <w:vAlign w:val="center"/>
          </w:tcPr>
          <w:p>
            <w:pPr>
              <w:pStyle w:val="TableContents"/>
              <w:bidi w:val="0"/>
              <w:spacing w:before="0" w:after="283"/>
              <w:jc w:val="right"/>
              <w:rPr>
                <w:b/>
              </w:rPr>
            </w:pPr>
            <w:r>
              <w:rPr>
                <w:b/>
              </w:rPr>
              <w:t>224,187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unobservable inputs used in the fair value measurement of the Company’s debt and derivative investments are market yields. Increases in market yields would result in lower fair value measurements.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unobservable inputs used in the fair value measurement of the Company’s equity/warrants investments are comparable company multiples of revenue or EBITDA for the latest twelve months (“LTM”), next twelve months (“NTM”) or a reasonable period a market participant would consider. Increases in EBITDA multiples in isolation would result in higher fair value measurement.</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Borrowings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BDC, we are generally only allowed to employ leverage to the extent that our asset coverage, as defined in the 1940 Act, equals at least 200% after giving effect to such leverage. The amount of leverage that we employ at any time depends on our assessment of the market and other factors at the time of any proposed borrowing.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in March 2018, the Small Business Credit Availability Act (“SBCAA”) modified the 1940 Act by allowing a BDC to increase the maximum amount of leverage it may incur from 200% to 150% of asset coverage, if certain requirements under the 1940 Act are met (“Modified Asset Coverage Requirements”). Under the 1940 Act,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1940 Act allows the majority of our independent directors to approve an increase in our leverage capacity, and such approval would become effective after the one-year anniversary of such approval. On May 4, 2026, the board of directors, including a “required majority” (as such term is defined in Section 57(o) of the 1940 Act) of the board of directors, approved the application of the Modified Asset Coverage Requirements set forth in the 1940 Act. As a result, the asset coverage ratio test applicable to the Company will be decreased from 200% to 150%, effective May 4, 2027.</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the Company’s asset coverage was 207.0% and 207.8%, respectively, after giving effect to leverage and therefore the Company’s asset coverage was greater than 200%, the minimum asset coverage requirement applicable presently to the Company under the 1940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outstanding debt excluding debt issuance costs as of June 30, 2026 and September 30, 2025 were as follows (dollars in thousands):</w:t>
      </w:r>
    </w:p>
    <w:p>
      <w:pPr>
        <w:pStyle w:val="TextBody"/>
        <w:bidi w:val="0"/>
        <w:spacing w:before="0" w:after="0"/>
        <w:jc w:val="both"/>
        <w:rPr>
          <w:caps w:val="false"/>
          <w:smallCaps w:val="false"/>
        </w:rPr>
      </w:pPr>
      <w:r>
        <w:rPr>
          <w:caps w:val="false"/>
          <w:smallCaps w:val="false"/>
        </w:rPr>
        <w:t> </w:t>
      </w:r>
    </w:p>
    <w:tbl>
      <w:tblPr>
        <w:tblW w:w="11435" w:type="dxa"/>
        <w:jc w:val="left"/>
        <w:tblInd w:w="0" w:type="dxa"/>
        <w:tblLayout w:type="fixed"/>
        <w:tblCellMar>
          <w:top w:w="0" w:type="dxa"/>
          <w:left w:w="0" w:type="dxa"/>
          <w:bottom w:w="0" w:type="dxa"/>
          <w:right w:w="0" w:type="dxa"/>
        </w:tblCellMar>
      </w:tblPr>
      <w:tblGrid>
        <w:gridCol w:w="1130"/>
        <w:gridCol w:w="90"/>
        <w:gridCol w:w="212"/>
        <w:gridCol w:w="888"/>
        <w:gridCol w:w="90"/>
        <w:gridCol w:w="90"/>
        <w:gridCol w:w="222"/>
        <w:gridCol w:w="1088"/>
        <w:gridCol w:w="90"/>
        <w:gridCol w:w="90"/>
        <w:gridCol w:w="170"/>
        <w:gridCol w:w="830"/>
        <w:gridCol w:w="90"/>
        <w:gridCol w:w="90"/>
        <w:gridCol w:w="170"/>
        <w:gridCol w:w="830"/>
        <w:gridCol w:w="90"/>
        <w:gridCol w:w="90"/>
        <w:gridCol w:w="212"/>
        <w:gridCol w:w="888"/>
        <w:gridCol w:w="90"/>
        <w:gridCol w:w="90"/>
        <w:gridCol w:w="222"/>
        <w:gridCol w:w="1088"/>
        <w:gridCol w:w="90"/>
        <w:gridCol w:w="90"/>
        <w:gridCol w:w="170"/>
        <w:gridCol w:w="830"/>
        <w:gridCol w:w="90"/>
        <w:gridCol w:w="90"/>
        <w:gridCol w:w="170"/>
        <w:gridCol w:w="830"/>
        <w:gridCol w:w="135"/>
      </w:tblGrid>
      <w:tr>
        <w:trPr/>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5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5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13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Aggregate Principal Available</w:t>
            </w:r>
            <w:r>
              <w:rPr>
                <w:rFonts w:ascii="Times New Roman;Times;Serif" w:hAnsi="Times New Roman;Times;Serif"/>
                <w:b/>
                <w:i w:val="false"/>
                <w:caps w:val="false"/>
                <w:smallCaps w:val="false"/>
                <w:position w:val="7"/>
                <w:sz w:val="16"/>
                <w:sz w:val="20"/>
              </w:rPr>
              <w:t>(1)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Principal Amount 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Aggregate Principal Available</w:t>
            </w:r>
            <w:r>
              <w:rPr>
                <w:rFonts w:ascii="Times New Roman;Times;Serif" w:hAnsi="Times New Roman;Times;Serif"/>
                <w:b/>
                <w:i w:val="false"/>
                <w:caps w:val="false"/>
                <w:smallCaps w:val="false"/>
                <w:position w:val="7"/>
                <w:sz w:val="16"/>
                <w:sz w:val="20"/>
              </w:rPr>
              <w:t>(1)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Principal Amount 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35"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pPr>
            <w:r>
              <w:rPr/>
              <w:t>2028 Notes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57,500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57,500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56,718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55,200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57,500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57,500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56,477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55,154</w:t>
            </w:r>
          </w:p>
        </w:tc>
        <w:tc>
          <w:tcPr>
            <w:tcW w:w="135"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2028 Promissory Note</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1,661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1,661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1,594</w:t>
            </w:r>
          </w:p>
        </w:tc>
        <w:tc>
          <w:tcPr>
            <w:tcW w:w="135"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pPr>
            <w:r>
              <w:rPr/>
              <w:t>Revolving Credit Facility</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center"/>
          </w:tcPr>
          <w:p>
            <w:pPr>
              <w:pStyle w:val="TableContents"/>
              <w:bidi w:val="0"/>
              <w:spacing w:before="0" w:after="283"/>
              <w:jc w:val="right"/>
              <w:rPr/>
            </w:pPr>
            <w:r>
              <w:rPr/>
              <w:t>10,008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8" w:type="dxa"/>
            <w:tcBorders>
              <w:bottom w:val="single" w:sz="12" w:space="0" w:color="000000"/>
            </w:tcBorders>
            <w:shd w:fill="CCEEFF" w:val="clear"/>
            <w:tcMar>
              <w:bottom w:w="28" w:type="dxa"/>
            </w:tcMar>
            <w:vAlign w:val="center"/>
          </w:tcPr>
          <w:p>
            <w:pPr>
              <w:pStyle w:val="TableContents"/>
              <w:bidi w:val="0"/>
              <w:spacing w:before="0" w:after="283"/>
              <w:jc w:val="right"/>
              <w:rPr/>
            </w:pPr>
            <w:r>
              <w:rPr/>
              <w:t>89,992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89,992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89,992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center"/>
          </w:tcPr>
          <w:p>
            <w:pPr>
              <w:pStyle w:val="TableContents"/>
              <w:bidi w:val="0"/>
              <w:spacing w:before="0" w:after="283"/>
              <w:jc w:val="right"/>
              <w:rPr/>
            </w:pPr>
            <w:r>
              <w:rPr/>
              <w:t>10,008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8" w:type="dxa"/>
            <w:tcBorders>
              <w:bottom w:val="single" w:sz="12" w:space="0" w:color="000000"/>
            </w:tcBorders>
            <w:shd w:fill="CCEEFF" w:val="clear"/>
            <w:tcMar>
              <w:bottom w:w="28" w:type="dxa"/>
            </w:tcMar>
            <w:vAlign w:val="center"/>
          </w:tcPr>
          <w:p>
            <w:pPr>
              <w:pStyle w:val="TableContents"/>
              <w:bidi w:val="0"/>
              <w:spacing w:before="0" w:after="283"/>
              <w:jc w:val="right"/>
              <w:rPr/>
            </w:pPr>
            <w:r>
              <w:rPr/>
              <w:t>89,992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89,992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89,992</w:t>
            </w:r>
          </w:p>
        </w:tc>
        <w:tc>
          <w:tcPr>
            <w:tcW w:w="135"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b/>
              </w:rPr>
            </w:pPr>
            <w:r>
              <w:rPr>
                <w:b/>
              </w:rPr>
              <w:t>Total debt</w:t>
            </w:r>
          </w:p>
        </w:tc>
        <w:tc>
          <w:tcPr>
            <w:tcW w:w="90" w:type="dxa"/>
            <w:tcBorders/>
            <w:vAlign w:val="center"/>
          </w:tcPr>
          <w:p>
            <w:pPr>
              <w:pStyle w:val="TableContents"/>
              <w:bidi w:val="0"/>
              <w:spacing w:before="0" w:after="283"/>
              <w:jc w:val="left"/>
              <w:rPr/>
            </w:pPr>
            <w:r>
              <w:rPr/>
              <w:t> </w:t>
            </w:r>
          </w:p>
        </w:tc>
        <w:tc>
          <w:tcPr>
            <w:tcW w:w="212" w:type="dxa"/>
            <w:tcBorders>
              <w:bottom w:val="double" w:sz="10" w:space="0" w:color="000000"/>
            </w:tcBorders>
            <w:tcMar>
              <w:bottom w:w="28" w:type="dxa"/>
            </w:tcMar>
            <w:vAlign w:val="center"/>
          </w:tcPr>
          <w:p>
            <w:pPr>
              <w:pStyle w:val="TableContents"/>
              <w:bidi w:val="0"/>
              <w:spacing w:before="0" w:after="283"/>
              <w:jc w:val="left"/>
              <w:rPr/>
            </w:pPr>
            <w:r>
              <w:rPr/>
              <w:t>$</w:t>
            </w:r>
          </w:p>
        </w:tc>
        <w:tc>
          <w:tcPr>
            <w:tcW w:w="888" w:type="dxa"/>
            <w:tcBorders>
              <w:bottom w:val="double" w:sz="10" w:space="0" w:color="000000"/>
            </w:tcBorders>
            <w:tcMar>
              <w:bottom w:w="28" w:type="dxa"/>
            </w:tcMar>
            <w:vAlign w:val="center"/>
          </w:tcPr>
          <w:p>
            <w:pPr>
              <w:pStyle w:val="TableContents"/>
              <w:bidi w:val="0"/>
              <w:spacing w:before="0" w:after="283"/>
              <w:jc w:val="right"/>
              <w:rPr/>
            </w:pPr>
            <w:r>
              <w:rPr/>
              <w:t>67,508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bottom w:val="double" w:sz="10" w:space="0" w:color="000000"/>
            </w:tcBorders>
            <w:tcMar>
              <w:bottom w:w="28" w:type="dxa"/>
            </w:tcMar>
            <w:vAlign w:val="center"/>
          </w:tcPr>
          <w:p>
            <w:pPr>
              <w:pStyle w:val="TableContents"/>
              <w:bidi w:val="0"/>
              <w:spacing w:before="0" w:after="283"/>
              <w:jc w:val="left"/>
              <w:rPr/>
            </w:pPr>
            <w:r>
              <w:rPr/>
              <w:t>$</w:t>
            </w:r>
          </w:p>
        </w:tc>
        <w:tc>
          <w:tcPr>
            <w:tcW w:w="1088" w:type="dxa"/>
            <w:tcBorders>
              <w:bottom w:val="double" w:sz="10" w:space="0" w:color="000000"/>
            </w:tcBorders>
            <w:tcMar>
              <w:bottom w:w="28" w:type="dxa"/>
            </w:tcMar>
            <w:vAlign w:val="center"/>
          </w:tcPr>
          <w:p>
            <w:pPr>
              <w:pStyle w:val="TableContents"/>
              <w:bidi w:val="0"/>
              <w:spacing w:before="0" w:after="283"/>
              <w:jc w:val="right"/>
              <w:rPr/>
            </w:pPr>
            <w:r>
              <w:rPr/>
              <w:t>147,492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146,710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145,192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double" w:sz="10" w:space="0" w:color="000000"/>
            </w:tcBorders>
            <w:tcMar>
              <w:bottom w:w="28" w:type="dxa"/>
            </w:tcMar>
            <w:vAlign w:val="center"/>
          </w:tcPr>
          <w:p>
            <w:pPr>
              <w:pStyle w:val="TableContents"/>
              <w:bidi w:val="0"/>
              <w:spacing w:before="0" w:after="283"/>
              <w:jc w:val="left"/>
              <w:rPr/>
            </w:pPr>
            <w:r>
              <w:rPr/>
              <w:t>$</w:t>
            </w:r>
          </w:p>
        </w:tc>
        <w:tc>
          <w:tcPr>
            <w:tcW w:w="888" w:type="dxa"/>
            <w:tcBorders>
              <w:bottom w:val="double" w:sz="10" w:space="0" w:color="000000"/>
            </w:tcBorders>
            <w:tcMar>
              <w:bottom w:w="28" w:type="dxa"/>
            </w:tcMar>
            <w:vAlign w:val="center"/>
          </w:tcPr>
          <w:p>
            <w:pPr>
              <w:pStyle w:val="TableContents"/>
              <w:bidi w:val="0"/>
              <w:spacing w:before="0" w:after="283"/>
              <w:jc w:val="right"/>
              <w:rPr/>
            </w:pPr>
            <w:r>
              <w:rPr/>
              <w:t>69,169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bottom w:val="double" w:sz="10" w:space="0" w:color="000000"/>
            </w:tcBorders>
            <w:tcMar>
              <w:bottom w:w="28" w:type="dxa"/>
            </w:tcMar>
            <w:vAlign w:val="center"/>
          </w:tcPr>
          <w:p>
            <w:pPr>
              <w:pStyle w:val="TableContents"/>
              <w:bidi w:val="0"/>
              <w:spacing w:before="0" w:after="283"/>
              <w:jc w:val="left"/>
              <w:rPr/>
            </w:pPr>
            <w:r>
              <w:rPr/>
              <w:t>$</w:t>
            </w:r>
          </w:p>
        </w:tc>
        <w:tc>
          <w:tcPr>
            <w:tcW w:w="1088" w:type="dxa"/>
            <w:tcBorders>
              <w:bottom w:val="double" w:sz="10" w:space="0" w:color="000000"/>
            </w:tcBorders>
            <w:tcMar>
              <w:bottom w:w="28" w:type="dxa"/>
            </w:tcMar>
            <w:vAlign w:val="center"/>
          </w:tcPr>
          <w:p>
            <w:pPr>
              <w:pStyle w:val="TableContents"/>
              <w:bidi w:val="0"/>
              <w:spacing w:before="0" w:after="283"/>
              <w:jc w:val="right"/>
              <w:rPr/>
            </w:pPr>
            <w:r>
              <w:rPr/>
              <w:t>149,153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148,012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146,740</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2028 Notes and 2028 Promissory Note, this represents the total principal amount and for the Revolving Credit Facility, this represents the undrawn principal amount.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Facility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2022, the Company entered into a 3 year $50.0 million revolving credit facility (the “Credit Facility”) with Woodforest National Bank (“Woodforest”). Woodforest was the administrative agent, sole bookrunner and sole lead arranger. The Credit Facility had an original maturity date of December 15,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2023, the Company borrowed $23.2 million under the Credit Facility and used these proceeds to redeem $22.6 million in aggregate principal amount of the issued and outstanding 2023 Notes, comprising all issued and outstanding 2023 Notes. The 2023 Notes were redeemed at 100% of their principal amount, plus accrued and unpaid interest thereon from September 30, 2022 through, but excluding January 17, 2023 (the “Redemption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21, 2024 (the “First Amendment Effective Date”), in order to increase the size of the Credit Facility, the parties to the Credit Facility amended the terms of the Credit Facility, effective as of the First Amendment Effective Date (the “First Amendment”). The First Amendment increased the principal amount of the loan available under the Credit Facility by $12.5 million to $62.5 million. All other material terms of the Credit Facility remain unchanged.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5. Borrowings</w:t>
      </w:r>
      <w:r>
        <w:rPr>
          <w:rFonts w:ascii="Times New Roman;Times;Serif" w:hAnsi="Times New Roman;Times;Serif"/>
          <w:b w:val="false"/>
          <w:i w:val="false"/>
          <w:caps w:val="false"/>
          <w:smallCaps w:val="false"/>
          <w:sz w:val="20"/>
        </w:rPr>
        <w:t xml:space="preserve">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(the “Second Amendment Effective Date”), in order to increase the size of the Credit Facility, the parties to the Credit Facility amended the Credit Facility, effective as of the Second Amendment Effective Date (the “Second Amendment”). The Second Amendment increased the principal amount of loan available under the Credit Facility by $25 million to $87.5 million. All other material terms of the Credit Facility remain unchanged.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“Third Amendment Effective Date”), in order to extend the term and increase the size of the Credit Facility, the parties to the Credit Facility amended the terms of the Credit Facility, effective as of the Third Amendment Effective Date (the “Third Amendment”). The Third Amendment increased the principal amount of the loan available under the Credit Facility by $12.5 million to $100.0 million (with potential access to up to an additional $50.0 million pursuant to an uncommitted accordion provision) and appointed BankUnited, N.A. to assume all agency and syndication responsibilities from the prior agent and lenders. Outstanding loans under the terms of the Amendment bear a monthly interest rate ranging from ABR + 1.35% to ABR + 1.75% for any alternative base rate loans and from Term SOFR + 2.35% to Term SOFR + 2.75% for any term benchmark loans based on the total debt to tangible net worth ratio. The Amendment also extended the term of the credit facility to April 17, 2030, five years from the Third Amendment Effective Date. Other material terms remain substantially unchanged.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Credit Facility, the Company is required to comply with various covenants, reporting requirements and other customary requirements for similar revolving credit facilities, including, without limitation, covenants related to: (a) limitations on the incurrence of additional indebtedness and liens, (b) limitations on certain investments, (c) limitations on certain restricted payments, (d) maintaining a certain minimum stockholders’ equity, (e) maintaining a ratio of total assets to total indebtedness of the Company and its consolidated subsidiaries (subject to certain exceptions) of not less than 2.0:1.0, (f) limitations on pledging certain unencumbered assets, and (g) limitations on the creation or existence of agreements that prohibit liens on certain properties of the Company and certain of its subsidiaries. These covenants are subject to important limitations and exceptions that are described in the documents governing the Credit Facility. Amounts available to borrow under the Credit Facility (and the incurrence of certain other permitted debt) are also subject to compliance with a borrowing base that applies different advance rates to different types of assets (based on their value as determined pursuant to the Credit Facility) that are pledged as collateral.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there was $90.0 million and $90.0 million outstanding, respectively, under the Credit Facility.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loans under the Credit Facility bear a monthly interest rate at Term SOFR + 2.50%. The Company is also subject to a commitment fee of 0.25%, which shall accrue on the actual daily amount of the undrawn portion of the revolving credit.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Unsecured Notes</w:t>
      </w:r>
      <w:r>
        <w:rPr>
          <w:rFonts w:ascii="Times New Roman;Times;Serif" w:hAnsi="Times New Roman;Times;Serif"/>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2028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9, 2021, the Company entered into an underwriting agreement, by and between the Company and Oppenheimer &amp; Co. Inc., as representative of the several underwriters, in connection with the issuance and sale (the “Offering”) of $57,500,000 (including the underwriters’ option to purchase up to $7,500,000 aggregate principal amount) in aggregate principal amount of its 5.25% Notes that mature on November 1, 2028 (the “2028 Notes” or the “Notes”). The Offering occurred on November 15, 2021, pursuant to the Company’s effective shelf registration statement on Form N-2 previously filed with the SEC. Effective November 16, 2021, the 2028 Notes began trading on the NASDAQ Global Market under the trading symbol “PFXNZ.”</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5. Borrowings</w:t>
      </w:r>
      <w:r>
        <w:rPr>
          <w:rFonts w:ascii="Times New Roman;Times;Serif" w:hAnsi="Times New Roman;Times;Serif"/>
          <w:b w:val="false"/>
          <w:i w:val="false"/>
          <w:caps w:val="false"/>
          <w:smallCaps w:val="false"/>
          <w:sz w:val="20"/>
        </w:rPr>
        <w:t xml:space="preserve">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2021, the Company and U.S. Bank National Association, as trustee, entered into a Fourth Supplemental Indenture to its base Indenture, dated February 7, 2012, between the Company and the Trustee. The Fourth Supplemental Indenture relates to the Offering of the 2028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2028 Promissory Note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 2024, the Company issued a 5.25% note due November 1, 2028 in the principal amount of $1,661,498 to National Security Insurance Company (the “2028 Promissory Note”). The financial terms of the note are substantially the same as the 2028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8, 2025, the Company redeemed in aggregate its principal amount of the issued and outstanding 2028 Promissory Note, comprising the issued and outstanding 2028 Promissory Note, at a price equal to the closing market price of the 2028 Notes on December 5, 2025, plus accrued and unpaid interest thereon from November 1, 2025, through, but excluding, December 8, 2025 in accordance with the terms of the indenture governing the 2028 Promissory Note. The redemption was completed on December 8,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Debt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our debt obligations are determined in accordance with ASC 820, which defines fair value in terms of the price that would be paid to transfer a liability in an orderly transaction between market participants at the measurement date under current market conditions. The fair value of the 2028 Notes, which are publicly traded, is based upon closing market quotes as of the measurement date. As of June 30, 2026 and September 30, 2025, the Notes are deemed to be Level 1 in the fair value hierarchy, as defined in Note 4. As of June 30, 2026 and September 30, 2025, the Credit Facility is deemed to be Level 3 in the fair value hierarchy, as defined in Note 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related to the 2028 Notes are reported on the Consolidated Statements of Assets and Liabilities as a direct deduction from the face amount of the 2028 Notes. As of June 30, 2026 and September 30, 2025, debt issuance costs related to the 2028 Notes were as follows (dollars in thousands):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1"/>
        <w:gridCol w:w="90"/>
        <w:gridCol w:w="202"/>
        <w:gridCol w:w="703"/>
        <w:gridCol w:w="94"/>
        <w:gridCol w:w="94"/>
        <w:gridCol w:w="469"/>
        <w:gridCol w:w="1132"/>
        <w:gridCol w:w="94"/>
        <w:gridCol w:w="94"/>
        <w:gridCol w:w="178"/>
        <w:gridCol w:w="617"/>
        <w:gridCol w:w="90"/>
        <w:gridCol w:w="90"/>
        <w:gridCol w:w="202"/>
        <w:gridCol w:w="703"/>
        <w:gridCol w:w="90"/>
        <w:gridCol w:w="90"/>
        <w:gridCol w:w="469"/>
        <w:gridCol w:w="1132"/>
        <w:gridCol w:w="90"/>
        <w:gridCol w:w="90"/>
        <w:gridCol w:w="170"/>
        <w:gridCol w:w="590"/>
        <w:gridCol w:w="141"/>
      </w:tblGrid>
      <w:tr>
        <w:trPr/>
        <w:tc>
          <w:tcPr>
            <w:tcW w:w="24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77" w:type="dxa"/>
            <w:gridSpan w:val="10"/>
            <w:tcBorders/>
            <w:vAlign w:val="center"/>
          </w:tcPr>
          <w:p>
            <w:pPr>
              <w:pStyle w:val="TableContents"/>
              <w:bidi w:val="0"/>
              <w:spacing w:before="0" w:after="283"/>
              <w:jc w:val="center"/>
              <w:rPr>
                <w:b/>
              </w:rPr>
            </w:pPr>
            <w:r>
              <w:rPr>
                <w:b/>
              </w:rPr>
              <w:t>For the nine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26" w:type="dxa"/>
            <w:gridSpan w:val="10"/>
            <w:tcBorders/>
            <w:vAlign w:val="center"/>
          </w:tcPr>
          <w:p>
            <w:pPr>
              <w:pStyle w:val="TableContents"/>
              <w:bidi w:val="0"/>
              <w:spacing w:before="0" w:after="283"/>
              <w:jc w:val="center"/>
              <w:rPr>
                <w:b/>
              </w:rPr>
            </w:pPr>
            <w:r>
              <w:rPr>
                <w:b/>
              </w:rPr>
              <w:t>For the year ended</w:t>
            </w:r>
          </w:p>
        </w:tc>
        <w:tc>
          <w:tcPr>
            <w:tcW w:w="141" w:type="dxa"/>
            <w:tcBorders/>
            <w:vAlign w:val="center"/>
          </w:tcPr>
          <w:p>
            <w:pPr>
              <w:pStyle w:val="TableContents"/>
              <w:bidi w:val="0"/>
              <w:spacing w:before="0" w:after="283"/>
              <w:jc w:val="left"/>
              <w:rPr/>
            </w:pPr>
            <w:r>
              <w:rPr/>
              <w:t> </w:t>
            </w:r>
          </w:p>
        </w:tc>
      </w:tr>
      <w:tr>
        <w:trPr/>
        <w:tc>
          <w:tcPr>
            <w:tcW w:w="24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7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2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141" w:type="dxa"/>
            <w:tcBorders/>
            <w:vAlign w:val="center"/>
          </w:tcPr>
          <w:p>
            <w:pPr>
              <w:pStyle w:val="TableContents"/>
              <w:bidi w:val="0"/>
              <w:spacing w:before="0" w:after="283"/>
              <w:jc w:val="left"/>
              <w:rPr/>
            </w:pPr>
            <w:r>
              <w:rPr/>
              <w:t> </w:t>
            </w:r>
          </w:p>
        </w:tc>
      </w:tr>
      <w:tr>
        <w:trPr/>
        <w:tc>
          <w:tcPr>
            <w:tcW w:w="24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2028 Notes</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6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2028 Promissory Note</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2028 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2028 Promissory 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41" w:type="dxa"/>
            <w:tcBorders/>
            <w:vAlign w:val="center"/>
          </w:tcPr>
          <w:p>
            <w:pPr>
              <w:pStyle w:val="TableContents"/>
              <w:bidi w:val="0"/>
              <w:spacing w:before="0" w:after="283"/>
              <w:ind w:left="0" w:right="0" w:hanging="180"/>
              <w:jc w:val="left"/>
              <w:rPr/>
            </w:pPr>
            <w:r>
              <w:rPr/>
              <w:t> </w:t>
            </w:r>
          </w:p>
        </w:tc>
      </w:tr>
      <w:tr>
        <w:trPr/>
        <w:tc>
          <w:tcPr>
            <w:tcW w:w="2491" w:type="dxa"/>
            <w:tcBorders/>
            <w:shd w:fill="CCEEFF" w:val="clear"/>
            <w:vAlign w:val="center"/>
          </w:tcPr>
          <w:p>
            <w:pPr>
              <w:pStyle w:val="TableContents"/>
              <w:bidi w:val="0"/>
              <w:spacing w:before="0" w:after="283"/>
              <w:jc w:val="left"/>
              <w:rPr/>
            </w:pPr>
            <w:r>
              <w:rPr/>
              <w:t>Total debt issuance costs at beginning of period</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3" w:type="dxa"/>
            <w:tcBorders/>
            <w:shd w:fill="CCEEFF" w:val="clear"/>
            <w:vAlign w:val="center"/>
          </w:tcPr>
          <w:p>
            <w:pPr>
              <w:pStyle w:val="TableContents"/>
              <w:bidi w:val="0"/>
              <w:spacing w:before="0" w:after="283"/>
              <w:jc w:val="right"/>
              <w:rPr/>
            </w:pPr>
            <w:r>
              <w:rPr/>
              <w:t>1,023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118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617" w:type="dxa"/>
            <w:tcBorders/>
            <w:shd w:fill="CCEEFF" w:val="clear"/>
            <w:vAlign w:val="center"/>
          </w:tcPr>
          <w:p>
            <w:pPr>
              <w:pStyle w:val="TableContents"/>
              <w:bidi w:val="0"/>
              <w:spacing w:before="0" w:after="283"/>
              <w:jc w:val="right"/>
              <w:rPr/>
            </w:pPr>
            <w:r>
              <w:rPr/>
              <w:t>1,141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3" w:type="dxa"/>
            <w:tcBorders/>
            <w:shd w:fill="CCEEFF" w:val="clear"/>
            <w:vAlign w:val="center"/>
          </w:tcPr>
          <w:p>
            <w:pPr>
              <w:pStyle w:val="TableContents"/>
              <w:bidi w:val="0"/>
              <w:spacing w:before="0" w:after="283"/>
              <w:jc w:val="right"/>
              <w:rPr/>
            </w:pPr>
            <w:r>
              <w:rPr/>
              <w:t>1,357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1,511</w:t>
            </w:r>
          </w:p>
        </w:tc>
        <w:tc>
          <w:tcPr>
            <w:tcW w:w="141" w:type="dxa"/>
            <w:tcBorders/>
            <w:shd w:fill="CCEEFF" w:val="clear"/>
            <w:vAlign w:val="center"/>
          </w:tcPr>
          <w:p>
            <w:pPr>
              <w:pStyle w:val="TableContents"/>
              <w:bidi w:val="0"/>
              <w:spacing w:before="0" w:after="283"/>
              <w:jc w:val="left"/>
              <w:rPr/>
            </w:pPr>
            <w:r>
              <w:rPr/>
              <w:t> </w:t>
            </w:r>
          </w:p>
        </w:tc>
      </w:tr>
      <w:tr>
        <w:trPr/>
        <w:tc>
          <w:tcPr>
            <w:tcW w:w="2491" w:type="dxa"/>
            <w:tcBorders/>
            <w:vAlign w:val="center"/>
          </w:tcPr>
          <w:p>
            <w:pPr>
              <w:pStyle w:val="TableContents"/>
              <w:bidi w:val="0"/>
              <w:spacing w:before="0" w:after="283"/>
              <w:jc w:val="left"/>
              <w:rPr/>
            </w:pPr>
            <w:r>
              <w:rPr/>
              <w:t>Debt issuance costs during the period</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0"/>
              <w:jc w:val="righ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0"/>
              <w:jc w:val="righ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right"/>
              <w:rPr/>
            </w:pPr>
            <w:r>
              <w:rPr/>
              <w:t>-</w:t>
            </w:r>
          </w:p>
        </w:tc>
        <w:tc>
          <w:tcPr>
            <w:tcW w:w="141" w:type="dxa"/>
            <w:tcBorders/>
            <w:vAlign w:val="center"/>
          </w:tcPr>
          <w:p>
            <w:pPr>
              <w:pStyle w:val="TableContents"/>
              <w:bidi w:val="0"/>
              <w:spacing w:before="0" w:after="283"/>
              <w:jc w:val="left"/>
              <w:rPr/>
            </w:pPr>
            <w:r>
              <w:rPr/>
              <w:t> </w:t>
            </w:r>
          </w:p>
        </w:tc>
      </w:tr>
      <w:tr>
        <w:trPr/>
        <w:tc>
          <w:tcPr>
            <w:tcW w:w="2491" w:type="dxa"/>
            <w:tcBorders/>
            <w:shd w:fill="CCEEFF" w:val="clear"/>
            <w:vAlign w:val="center"/>
          </w:tcPr>
          <w:p>
            <w:pPr>
              <w:pStyle w:val="TableContents"/>
              <w:bidi w:val="0"/>
              <w:spacing w:before="0" w:after="283"/>
              <w:jc w:val="left"/>
              <w:rPr/>
            </w:pPr>
            <w:r>
              <w:rPr/>
              <w:t>Amortized debt issuance costs</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3" w:type="dxa"/>
            <w:tcBorders>
              <w:bottom w:val="single" w:sz="12" w:space="0" w:color="000000"/>
            </w:tcBorders>
            <w:shd w:fill="CCEEFF" w:val="clear"/>
            <w:tcMar>
              <w:bottom w:w="28" w:type="dxa"/>
            </w:tcMar>
            <w:vAlign w:val="center"/>
          </w:tcPr>
          <w:p>
            <w:pPr>
              <w:pStyle w:val="TableContents"/>
              <w:bidi w:val="0"/>
              <w:spacing w:before="0" w:after="283"/>
              <w:jc w:val="right"/>
              <w:rPr/>
            </w:pPr>
            <w:r>
              <w:rPr/>
              <w:t>242</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4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118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7" w:type="dxa"/>
            <w:tcBorders>
              <w:bottom w:val="single" w:sz="12" w:space="0" w:color="000000"/>
            </w:tcBorders>
            <w:shd w:fill="CCEEFF" w:val="clear"/>
            <w:tcMar>
              <w:bottom w:w="28" w:type="dxa"/>
            </w:tcMar>
            <w:vAlign w:val="center"/>
          </w:tcPr>
          <w:p>
            <w:pPr>
              <w:pStyle w:val="TableContents"/>
              <w:bidi w:val="0"/>
              <w:spacing w:before="0" w:after="283"/>
              <w:jc w:val="right"/>
              <w:rPr/>
            </w:pPr>
            <w:r>
              <w:rPr/>
              <w:t>360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3" w:type="dxa"/>
            <w:tcBorders>
              <w:bottom w:val="single" w:sz="12" w:space="0" w:color="000000"/>
            </w:tcBorders>
            <w:shd w:fill="CCEEFF" w:val="clear"/>
            <w:tcMar>
              <w:bottom w:w="28" w:type="dxa"/>
            </w:tcMar>
            <w:vAlign w:val="center"/>
          </w:tcPr>
          <w:p>
            <w:pPr>
              <w:pStyle w:val="TableContents"/>
              <w:bidi w:val="0"/>
              <w:spacing w:before="0" w:after="283"/>
              <w:jc w:val="right"/>
              <w:rPr/>
            </w:pPr>
            <w:r>
              <w:rPr/>
              <w:t>334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370</w:t>
            </w:r>
          </w:p>
        </w:tc>
        <w:tc>
          <w:tcPr>
            <w:tcW w:w="141" w:type="dxa"/>
            <w:tcBorders/>
            <w:shd w:fill="CCEEFF" w:val="clear"/>
            <w:vAlign w:val="center"/>
          </w:tcPr>
          <w:p>
            <w:pPr>
              <w:pStyle w:val="TableContents"/>
              <w:bidi w:val="0"/>
              <w:spacing w:before="0" w:after="283"/>
              <w:jc w:val="left"/>
              <w:rPr/>
            </w:pPr>
            <w:r>
              <w:rPr/>
              <w:t> </w:t>
            </w:r>
          </w:p>
        </w:tc>
      </w:tr>
      <w:tr>
        <w:trPr/>
        <w:tc>
          <w:tcPr>
            <w:tcW w:w="2491" w:type="dxa"/>
            <w:tcBorders/>
            <w:vAlign w:val="center"/>
          </w:tcPr>
          <w:p>
            <w:pPr>
              <w:pStyle w:val="TableContents"/>
              <w:bidi w:val="0"/>
              <w:spacing w:before="0" w:after="283"/>
              <w:jc w:val="left"/>
              <w:rPr/>
            </w:pPr>
            <w:r>
              <w:rPr/>
              <w:t>Unamortized debt issuance costs</w:t>
            </w:r>
          </w:p>
        </w:tc>
        <w:tc>
          <w:tcPr>
            <w:tcW w:w="90"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w:t>
            </w:r>
          </w:p>
        </w:tc>
        <w:tc>
          <w:tcPr>
            <w:tcW w:w="703" w:type="dxa"/>
            <w:tcBorders>
              <w:bottom w:val="double" w:sz="10" w:space="0" w:color="000000"/>
            </w:tcBorders>
            <w:tcMar>
              <w:bottom w:w="28" w:type="dxa"/>
            </w:tcMar>
            <w:vAlign w:val="center"/>
          </w:tcPr>
          <w:p>
            <w:pPr>
              <w:pStyle w:val="TableContents"/>
              <w:bidi w:val="0"/>
              <w:spacing w:before="0" w:after="283"/>
              <w:jc w:val="right"/>
              <w:rPr/>
            </w:pPr>
            <w:r>
              <w:rPr/>
              <w:t>781</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469" w:type="dxa"/>
            <w:tcBorders>
              <w:bottom w:val="double" w:sz="10" w:space="0" w:color="000000"/>
            </w:tcBorders>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tcMar>
              <w:bottom w:w="28" w:type="dxa"/>
            </w:tcMar>
            <w:vAlign w:val="center"/>
          </w:tcPr>
          <w:p>
            <w:pPr>
              <w:pStyle w:val="TableContents"/>
              <w:bidi w:val="0"/>
              <w:spacing w:before="0" w:after="0"/>
              <w:jc w:val="righ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w:t>
            </w:r>
          </w:p>
        </w:tc>
        <w:tc>
          <w:tcPr>
            <w:tcW w:w="617" w:type="dxa"/>
            <w:tcBorders>
              <w:bottom w:val="double" w:sz="10" w:space="0" w:color="000000"/>
            </w:tcBorders>
            <w:tcMar>
              <w:bottom w:w="28" w:type="dxa"/>
            </w:tcMar>
            <w:vAlign w:val="center"/>
          </w:tcPr>
          <w:p>
            <w:pPr>
              <w:pStyle w:val="TableContents"/>
              <w:bidi w:val="0"/>
              <w:spacing w:before="0" w:after="283"/>
              <w:jc w:val="right"/>
              <w:rPr/>
            </w:pPr>
            <w:r>
              <w:rPr/>
              <w:t>781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w:t>
            </w:r>
          </w:p>
        </w:tc>
        <w:tc>
          <w:tcPr>
            <w:tcW w:w="703" w:type="dxa"/>
            <w:tcBorders>
              <w:bottom w:val="double" w:sz="10" w:space="0" w:color="000000"/>
            </w:tcBorders>
            <w:tcMar>
              <w:bottom w:w="28" w:type="dxa"/>
            </w:tcMar>
            <w:vAlign w:val="center"/>
          </w:tcPr>
          <w:p>
            <w:pPr>
              <w:pStyle w:val="TableContents"/>
              <w:bidi w:val="0"/>
              <w:spacing w:before="0" w:after="283"/>
              <w:jc w:val="right"/>
              <w:rPr/>
            </w:pPr>
            <w:r>
              <w:rPr/>
              <w:t>1,023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9" w:type="dxa"/>
            <w:tcBorders>
              <w:bottom w:val="double" w:sz="10" w:space="0" w:color="000000"/>
            </w:tcBorders>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tcMar>
              <w:bottom w:w="28" w:type="dxa"/>
            </w:tcMar>
            <w:vAlign w:val="center"/>
          </w:tcPr>
          <w:p>
            <w:pPr>
              <w:pStyle w:val="TableContents"/>
              <w:bidi w:val="0"/>
              <w:spacing w:before="0" w:after="283"/>
              <w:jc w:val="right"/>
              <w:rPr/>
            </w:pPr>
            <w:r>
              <w:rPr/>
              <w:t>118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1,141</w:t>
            </w:r>
          </w:p>
        </w:tc>
        <w:tc>
          <w:tcPr>
            <w:tcW w:w="141"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June 30, 2026 and 2025, the components of interest expense, amortized debt issuance costs, amortized deferred financing costs, weighted average stated interest rate and weighted average outstanding debt balance for the 2028 Notes, 2028 Promissory Note and Credit Facility were as follows (dollars in thousands):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9"/>
        <w:gridCol w:w="90"/>
        <w:gridCol w:w="216"/>
        <w:gridCol w:w="1057"/>
        <w:gridCol w:w="312"/>
        <w:gridCol w:w="114"/>
        <w:gridCol w:w="216"/>
        <w:gridCol w:w="1057"/>
        <w:gridCol w:w="245"/>
        <w:gridCol w:w="90"/>
        <w:gridCol w:w="211"/>
        <w:gridCol w:w="1033"/>
        <w:gridCol w:w="305"/>
        <w:gridCol w:w="111"/>
        <w:gridCol w:w="211"/>
        <w:gridCol w:w="1033"/>
        <w:gridCol w:w="295"/>
      </w:tblGrid>
      <w:tr>
        <w:trPr/>
        <w:tc>
          <w:tcPr>
            <w:tcW w:w="3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Nine Months Ended </w:t>
              <w:br/>
              <w:t>June 30,</w:t>
            </w:r>
          </w:p>
        </w:tc>
        <w:tc>
          <w:tcPr>
            <w:tcW w:w="295" w:type="dxa"/>
            <w:tcBorders/>
            <w:vAlign w:val="center"/>
          </w:tcPr>
          <w:p>
            <w:pPr>
              <w:pStyle w:val="TableContents"/>
              <w:bidi w:val="0"/>
              <w:spacing w:before="0" w:after="283"/>
              <w:jc w:val="left"/>
              <w:rPr/>
            </w:pPr>
            <w:r>
              <w:rPr/>
              <w:t> </w:t>
            </w:r>
          </w:p>
        </w:tc>
      </w:tr>
      <w:tr>
        <w:trPr/>
        <w:tc>
          <w:tcPr>
            <w:tcW w:w="3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12"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2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0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5" w:type="dxa"/>
            <w:tcBorders/>
            <w:vAlign w:val="center"/>
          </w:tcPr>
          <w:p>
            <w:pPr>
              <w:pStyle w:val="TableContents"/>
              <w:bidi w:val="0"/>
              <w:spacing w:before="0" w:after="283"/>
              <w:jc w:val="left"/>
              <w:rPr/>
            </w:pPr>
            <w:r>
              <w:rPr/>
              <w:t> </w:t>
            </w:r>
          </w:p>
        </w:tc>
      </w:tr>
      <w:tr>
        <w:trPr/>
        <w:tc>
          <w:tcPr>
            <w:tcW w:w="3609" w:type="dxa"/>
            <w:tcBorders/>
            <w:shd w:fill="CCEEFF" w:val="clear"/>
            <w:vAlign w:val="center"/>
          </w:tcPr>
          <w:p>
            <w:pPr>
              <w:pStyle w:val="TableContents"/>
              <w:bidi w:val="0"/>
              <w:spacing w:before="0" w:after="283"/>
              <w:jc w:val="left"/>
              <w:rPr/>
            </w:pPr>
            <w:r>
              <w:rPr/>
              <w:t>2028 Notes Interest</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right"/>
              <w:rPr/>
            </w:pPr>
            <w:r>
              <w:rPr/>
              <w:t>756</w:t>
            </w:r>
          </w:p>
        </w:tc>
        <w:tc>
          <w:tcPr>
            <w:tcW w:w="312"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right"/>
              <w:rPr/>
            </w:pPr>
            <w:r>
              <w:rPr/>
              <w:t>753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033" w:type="dxa"/>
            <w:tcBorders/>
            <w:shd w:fill="CCEEFF" w:val="clear"/>
            <w:vAlign w:val="center"/>
          </w:tcPr>
          <w:p>
            <w:pPr>
              <w:pStyle w:val="TableContents"/>
              <w:bidi w:val="0"/>
              <w:spacing w:before="0" w:after="283"/>
              <w:jc w:val="right"/>
              <w:rPr/>
            </w:pPr>
            <w:r>
              <w:rPr/>
              <w:t>2,265</w:t>
            </w:r>
          </w:p>
        </w:tc>
        <w:tc>
          <w:tcPr>
            <w:tcW w:w="30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033" w:type="dxa"/>
            <w:tcBorders/>
            <w:shd w:fill="CCEEFF" w:val="clear"/>
            <w:vAlign w:val="center"/>
          </w:tcPr>
          <w:p>
            <w:pPr>
              <w:pStyle w:val="TableContents"/>
              <w:bidi w:val="0"/>
              <w:spacing w:before="0" w:after="283"/>
              <w:jc w:val="right"/>
              <w:rPr/>
            </w:pPr>
            <w:r>
              <w:rPr/>
              <w:t>2,263</w:t>
            </w:r>
          </w:p>
        </w:tc>
        <w:tc>
          <w:tcPr>
            <w:tcW w:w="295" w:type="dxa"/>
            <w:tcBorders/>
            <w:shd w:fill="CCEEFF" w:val="clear"/>
            <w:vAlign w:val="center"/>
          </w:tcPr>
          <w:p>
            <w:pPr>
              <w:pStyle w:val="TableContents"/>
              <w:bidi w:val="0"/>
              <w:spacing w:before="0" w:after="283"/>
              <w:jc w:val="left"/>
              <w:rPr/>
            </w:pPr>
            <w:r>
              <w:rPr/>
              <w:t> </w:t>
            </w:r>
          </w:p>
        </w:tc>
      </w:tr>
      <w:tr>
        <w:trPr/>
        <w:tc>
          <w:tcPr>
            <w:tcW w:w="3609" w:type="dxa"/>
            <w:tcBorders/>
            <w:vAlign w:val="center"/>
          </w:tcPr>
          <w:p>
            <w:pPr>
              <w:pStyle w:val="TableContents"/>
              <w:bidi w:val="0"/>
              <w:spacing w:before="0" w:after="283"/>
              <w:jc w:val="left"/>
              <w:rPr/>
            </w:pPr>
            <w:r>
              <w:rPr/>
              <w:t>2028 Promissory Note Interest</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0"/>
              <w:jc w:val="right"/>
              <w:rPr/>
            </w:pPr>
            <w:r>
              <w:rPr/>
              <w:t>-</w:t>
            </w:r>
          </w:p>
        </w:tc>
        <w:tc>
          <w:tcPr>
            <w:tcW w:w="312"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22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16</w:t>
            </w:r>
          </w:p>
        </w:tc>
        <w:tc>
          <w:tcPr>
            <w:tcW w:w="30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66</w:t>
            </w:r>
          </w:p>
        </w:tc>
        <w:tc>
          <w:tcPr>
            <w:tcW w:w="295" w:type="dxa"/>
            <w:tcBorders/>
            <w:vAlign w:val="center"/>
          </w:tcPr>
          <w:p>
            <w:pPr>
              <w:pStyle w:val="TableContents"/>
              <w:bidi w:val="0"/>
              <w:spacing w:before="0" w:after="283"/>
              <w:jc w:val="left"/>
              <w:rPr/>
            </w:pPr>
            <w:r>
              <w:rPr/>
              <w:t> </w:t>
            </w:r>
          </w:p>
        </w:tc>
      </w:tr>
      <w:tr>
        <w:trPr/>
        <w:tc>
          <w:tcPr>
            <w:tcW w:w="3609" w:type="dxa"/>
            <w:tcBorders/>
            <w:shd w:fill="CCEEFF" w:val="clear"/>
            <w:vAlign w:val="center"/>
          </w:tcPr>
          <w:p>
            <w:pPr>
              <w:pStyle w:val="TableContents"/>
              <w:bidi w:val="0"/>
              <w:spacing w:before="0" w:after="283"/>
              <w:jc w:val="left"/>
              <w:rPr/>
            </w:pPr>
            <w:r>
              <w:rPr/>
              <w:t>Credit facility interest</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1,397</w:t>
            </w:r>
          </w:p>
        </w:tc>
        <w:tc>
          <w:tcPr>
            <w:tcW w:w="312"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1,607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4,282</w:t>
            </w:r>
          </w:p>
        </w:tc>
        <w:tc>
          <w:tcPr>
            <w:tcW w:w="30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4,601</w:t>
            </w:r>
          </w:p>
        </w:tc>
        <w:tc>
          <w:tcPr>
            <w:tcW w:w="295" w:type="dxa"/>
            <w:tcBorders/>
            <w:shd w:fill="CCEEFF" w:val="clear"/>
            <w:vAlign w:val="center"/>
          </w:tcPr>
          <w:p>
            <w:pPr>
              <w:pStyle w:val="TableContents"/>
              <w:bidi w:val="0"/>
              <w:spacing w:before="0" w:after="283"/>
              <w:jc w:val="left"/>
              <w:rPr/>
            </w:pPr>
            <w:r>
              <w:rPr/>
              <w:t> </w:t>
            </w:r>
          </w:p>
        </w:tc>
      </w:tr>
      <w:tr>
        <w:trPr/>
        <w:tc>
          <w:tcPr>
            <w:tcW w:w="3609" w:type="dxa"/>
            <w:tcBorders/>
            <w:vAlign w:val="center"/>
          </w:tcPr>
          <w:p>
            <w:pPr>
              <w:pStyle w:val="TableContents"/>
              <w:bidi w:val="0"/>
              <w:spacing w:before="0" w:after="283"/>
              <w:jc w:val="left"/>
              <w:rPr/>
            </w:pPr>
            <w:r>
              <w:rPr/>
              <w:t>Commitment fees</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6</w:t>
            </w:r>
          </w:p>
        </w:tc>
        <w:tc>
          <w:tcPr>
            <w:tcW w:w="312"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(24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19</w:t>
            </w:r>
          </w:p>
        </w:tc>
        <w:tc>
          <w:tcPr>
            <w:tcW w:w="30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(15</w:t>
            </w:r>
          </w:p>
        </w:tc>
        <w:tc>
          <w:tcPr>
            <w:tcW w:w="295" w:type="dxa"/>
            <w:tcBorders/>
            <w:vAlign w:val="center"/>
          </w:tcPr>
          <w:p>
            <w:pPr>
              <w:pStyle w:val="TableContents"/>
              <w:bidi w:val="0"/>
              <w:spacing w:before="0" w:after="283"/>
              <w:jc w:val="left"/>
              <w:rPr/>
            </w:pPr>
            <w:r>
              <w:rPr/>
              <w:t>)</w:t>
            </w:r>
          </w:p>
        </w:tc>
      </w:tr>
      <w:tr>
        <w:trPr/>
        <w:tc>
          <w:tcPr>
            <w:tcW w:w="3609" w:type="dxa"/>
            <w:tcBorders/>
            <w:shd w:fill="CCEEFF" w:val="clear"/>
            <w:vAlign w:val="center"/>
          </w:tcPr>
          <w:p>
            <w:pPr>
              <w:pStyle w:val="TableContents"/>
              <w:bidi w:val="0"/>
              <w:spacing w:before="0" w:after="283"/>
              <w:jc w:val="left"/>
              <w:rPr/>
            </w:pPr>
            <w:r>
              <w:rPr/>
              <w:t>Amortization of deferred financing costs</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78</w:t>
            </w:r>
          </w:p>
        </w:tc>
        <w:tc>
          <w:tcPr>
            <w:tcW w:w="312"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99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230</w:t>
            </w:r>
          </w:p>
        </w:tc>
        <w:tc>
          <w:tcPr>
            <w:tcW w:w="30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483</w:t>
            </w:r>
          </w:p>
        </w:tc>
        <w:tc>
          <w:tcPr>
            <w:tcW w:w="295" w:type="dxa"/>
            <w:tcBorders/>
            <w:shd w:fill="CCEEFF" w:val="clear"/>
            <w:vAlign w:val="center"/>
          </w:tcPr>
          <w:p>
            <w:pPr>
              <w:pStyle w:val="TableContents"/>
              <w:bidi w:val="0"/>
              <w:spacing w:before="0" w:after="283"/>
              <w:jc w:val="left"/>
              <w:rPr/>
            </w:pPr>
            <w:r>
              <w:rPr/>
              <w:t> </w:t>
            </w:r>
          </w:p>
        </w:tc>
      </w:tr>
      <w:tr>
        <w:trPr/>
        <w:tc>
          <w:tcPr>
            <w:tcW w:w="3609" w:type="dxa"/>
            <w:tcBorders/>
            <w:vAlign w:val="center"/>
          </w:tcPr>
          <w:p>
            <w:pPr>
              <w:pStyle w:val="TableContents"/>
              <w:bidi w:val="0"/>
              <w:spacing w:before="0" w:after="283"/>
              <w:jc w:val="left"/>
              <w:rPr/>
            </w:pPr>
            <w:r>
              <w:rPr/>
              <w:t>Amortization of debt issuance costs</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83</w:t>
            </w:r>
          </w:p>
        </w:tc>
        <w:tc>
          <w:tcPr>
            <w:tcW w:w="312"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92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249</w:t>
            </w:r>
          </w:p>
        </w:tc>
        <w:tc>
          <w:tcPr>
            <w:tcW w:w="30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276</w:t>
            </w:r>
          </w:p>
        </w:tc>
        <w:tc>
          <w:tcPr>
            <w:tcW w:w="295" w:type="dxa"/>
            <w:tcBorders/>
            <w:vAlign w:val="center"/>
          </w:tcPr>
          <w:p>
            <w:pPr>
              <w:pStyle w:val="TableContents"/>
              <w:bidi w:val="0"/>
              <w:spacing w:before="0" w:after="283"/>
              <w:jc w:val="left"/>
              <w:rPr/>
            </w:pPr>
            <w:r>
              <w:rPr/>
              <w:t> </w:t>
            </w:r>
          </w:p>
        </w:tc>
      </w:tr>
      <w:tr>
        <w:trPr/>
        <w:tc>
          <w:tcPr>
            <w:tcW w:w="3609"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312"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7" w:type="dxa"/>
            <w:tcBorders>
              <w:bottom w:val="single" w:sz="12" w:space="0" w:color="000000"/>
            </w:tcBorders>
            <w:shd w:fill="CCEEFF" w:val="clear"/>
            <w:tcMar>
              <w:bottom w:w="28" w:type="dxa"/>
            </w:tcMar>
            <w:vAlign w:val="center"/>
          </w:tcPr>
          <w:p>
            <w:pPr>
              <w:pStyle w:val="TableContents"/>
              <w:bidi w:val="0"/>
              <w:spacing w:before="0" w:after="283"/>
              <w:jc w:val="right"/>
              <w:rPr/>
            </w:pPr>
            <w:r>
              <w:rPr/>
              <w:t>111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30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center"/>
          </w:tcPr>
          <w:p>
            <w:pPr>
              <w:pStyle w:val="TableContents"/>
              <w:bidi w:val="0"/>
              <w:spacing w:before="0" w:after="283"/>
              <w:jc w:val="right"/>
              <w:rPr/>
            </w:pPr>
            <w:r>
              <w:rPr/>
              <w:t>111</w:t>
            </w:r>
          </w:p>
        </w:tc>
        <w:tc>
          <w:tcPr>
            <w:tcW w:w="295" w:type="dxa"/>
            <w:tcBorders/>
            <w:shd w:fill="CCEEFF" w:val="clear"/>
            <w:vAlign w:val="center"/>
          </w:tcPr>
          <w:p>
            <w:pPr>
              <w:pStyle w:val="TableContents"/>
              <w:bidi w:val="0"/>
              <w:spacing w:before="0" w:after="283"/>
              <w:jc w:val="left"/>
              <w:rPr/>
            </w:pPr>
            <w:r>
              <w:rPr/>
              <w:t> </w:t>
            </w:r>
          </w:p>
        </w:tc>
      </w:tr>
      <w:tr>
        <w:trPr/>
        <w:tc>
          <w:tcPr>
            <w:tcW w:w="3609"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216" w:type="dxa"/>
            <w:tcBorders>
              <w:bottom w:val="double" w:sz="10" w:space="0" w:color="000000"/>
            </w:tcBorders>
            <w:tcMar>
              <w:bottom w:w="28" w:type="dxa"/>
            </w:tcMar>
            <w:vAlign w:val="center"/>
          </w:tcPr>
          <w:p>
            <w:pPr>
              <w:pStyle w:val="TableContents"/>
              <w:bidi w:val="0"/>
              <w:spacing w:before="0" w:after="283"/>
              <w:jc w:val="left"/>
              <w:rPr/>
            </w:pPr>
            <w:r>
              <w:rPr/>
              <w:t>$</w:t>
            </w:r>
          </w:p>
        </w:tc>
        <w:tc>
          <w:tcPr>
            <w:tcW w:w="1057" w:type="dxa"/>
            <w:tcBorders>
              <w:bottom w:val="double" w:sz="10" w:space="0" w:color="000000"/>
            </w:tcBorders>
            <w:tcMar>
              <w:bottom w:w="28" w:type="dxa"/>
            </w:tcMar>
            <w:vAlign w:val="center"/>
          </w:tcPr>
          <w:p>
            <w:pPr>
              <w:pStyle w:val="TableContents"/>
              <w:bidi w:val="0"/>
              <w:spacing w:before="0" w:after="283"/>
              <w:jc w:val="right"/>
              <w:rPr/>
            </w:pPr>
            <w:r>
              <w:rPr/>
              <w:t>2,320</w:t>
            </w:r>
          </w:p>
        </w:tc>
        <w:tc>
          <w:tcPr>
            <w:tcW w:w="312"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6" w:type="dxa"/>
            <w:tcBorders>
              <w:bottom w:val="double" w:sz="10" w:space="0" w:color="000000"/>
            </w:tcBorders>
            <w:tcMar>
              <w:bottom w:w="28" w:type="dxa"/>
            </w:tcMar>
            <w:vAlign w:val="center"/>
          </w:tcPr>
          <w:p>
            <w:pPr>
              <w:pStyle w:val="TableContents"/>
              <w:bidi w:val="0"/>
              <w:spacing w:before="0" w:after="283"/>
              <w:jc w:val="left"/>
              <w:rPr/>
            </w:pPr>
            <w:r>
              <w:rPr/>
              <w:t>$</w:t>
            </w:r>
          </w:p>
        </w:tc>
        <w:tc>
          <w:tcPr>
            <w:tcW w:w="1057" w:type="dxa"/>
            <w:tcBorders>
              <w:bottom w:val="double" w:sz="10" w:space="0" w:color="000000"/>
            </w:tcBorders>
            <w:tcMar>
              <w:bottom w:w="28" w:type="dxa"/>
            </w:tcMar>
            <w:vAlign w:val="center"/>
          </w:tcPr>
          <w:p>
            <w:pPr>
              <w:pStyle w:val="TableContents"/>
              <w:bidi w:val="0"/>
              <w:spacing w:before="0" w:after="283"/>
              <w:jc w:val="right"/>
              <w:rPr/>
            </w:pPr>
            <w:r>
              <w:rPr/>
              <w:t>2,660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bottom w:val="double" w:sz="10" w:space="0" w:color="000000"/>
            </w:tcBorders>
            <w:tcMar>
              <w:bottom w:w="28" w:type="dxa"/>
            </w:tcMar>
            <w:vAlign w:val="center"/>
          </w:tcPr>
          <w:p>
            <w:pPr>
              <w:pStyle w:val="TableContents"/>
              <w:bidi w:val="0"/>
              <w:spacing w:before="0" w:after="283"/>
              <w:jc w:val="left"/>
              <w:rPr/>
            </w:pPr>
            <w:r>
              <w:rPr/>
              <w:t>$</w:t>
            </w:r>
          </w:p>
        </w:tc>
        <w:tc>
          <w:tcPr>
            <w:tcW w:w="1033" w:type="dxa"/>
            <w:tcBorders>
              <w:bottom w:val="double" w:sz="10" w:space="0" w:color="000000"/>
            </w:tcBorders>
            <w:tcMar>
              <w:bottom w:w="28" w:type="dxa"/>
            </w:tcMar>
            <w:vAlign w:val="center"/>
          </w:tcPr>
          <w:p>
            <w:pPr>
              <w:pStyle w:val="TableContents"/>
              <w:bidi w:val="0"/>
              <w:spacing w:before="0" w:after="283"/>
              <w:jc w:val="right"/>
              <w:rPr/>
            </w:pPr>
            <w:r>
              <w:rPr/>
              <w:t>7,061</w:t>
            </w:r>
          </w:p>
        </w:tc>
        <w:tc>
          <w:tcPr>
            <w:tcW w:w="30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bottom w:val="double" w:sz="10" w:space="0" w:color="000000"/>
            </w:tcBorders>
            <w:tcMar>
              <w:bottom w:w="28" w:type="dxa"/>
            </w:tcMar>
            <w:vAlign w:val="center"/>
          </w:tcPr>
          <w:p>
            <w:pPr>
              <w:pStyle w:val="TableContents"/>
              <w:bidi w:val="0"/>
              <w:spacing w:before="0" w:after="283"/>
              <w:jc w:val="left"/>
              <w:rPr/>
            </w:pPr>
            <w:r>
              <w:rPr/>
              <w:t>$</w:t>
            </w:r>
          </w:p>
        </w:tc>
        <w:tc>
          <w:tcPr>
            <w:tcW w:w="1033" w:type="dxa"/>
            <w:tcBorders>
              <w:bottom w:val="double" w:sz="10" w:space="0" w:color="000000"/>
            </w:tcBorders>
            <w:tcMar>
              <w:bottom w:w="28" w:type="dxa"/>
            </w:tcMar>
            <w:vAlign w:val="center"/>
          </w:tcPr>
          <w:p>
            <w:pPr>
              <w:pStyle w:val="TableContents"/>
              <w:bidi w:val="0"/>
              <w:spacing w:before="0" w:after="283"/>
              <w:jc w:val="right"/>
              <w:rPr/>
            </w:pPr>
            <w:r>
              <w:rPr/>
              <w:t>7,785</w:t>
            </w:r>
          </w:p>
        </w:tc>
        <w:tc>
          <w:tcPr>
            <w:tcW w:w="295" w:type="dxa"/>
            <w:tcBorders/>
            <w:vAlign w:val="center"/>
          </w:tcPr>
          <w:p>
            <w:pPr>
              <w:pStyle w:val="TableContents"/>
              <w:bidi w:val="0"/>
              <w:spacing w:before="0" w:after="283"/>
              <w:jc w:val="left"/>
              <w:rPr/>
            </w:pPr>
            <w:r>
              <w:rPr/>
              <w:t> </w:t>
            </w:r>
          </w:p>
        </w:tc>
      </w:tr>
      <w:tr>
        <w:trPr/>
        <w:tc>
          <w:tcPr>
            <w:tcW w:w="3609" w:type="dxa"/>
            <w:tcBorders/>
            <w:shd w:fill="CCEEFF" w:val="clear"/>
            <w:vAlign w:val="center"/>
          </w:tcPr>
          <w:p>
            <w:pPr>
              <w:pStyle w:val="TableContents"/>
              <w:bidi w:val="0"/>
              <w:spacing w:before="0" w:after="283"/>
              <w:jc w:val="left"/>
              <w:rPr/>
            </w:pPr>
            <w:r>
              <w:rPr/>
              <w:t>Weighted average stated interest rate</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5.8</w:t>
            </w:r>
          </w:p>
        </w:tc>
        <w:tc>
          <w:tcPr>
            <w:tcW w:w="312"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6.6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5.9</w:t>
            </w:r>
          </w:p>
        </w:tc>
        <w:tc>
          <w:tcPr>
            <w:tcW w:w="305" w:type="dxa"/>
            <w:tcBorders/>
            <w:shd w:fill="CCEEFF" w:val="clear"/>
            <w:vAlign w:val="center"/>
          </w:tcPr>
          <w:p>
            <w:pPr>
              <w:pStyle w:val="TableContents"/>
              <w:bidi w:val="0"/>
              <w:spacing w:before="0" w:after="283"/>
              <w:jc w:val="left"/>
              <w:rPr/>
            </w:pPr>
            <w:r>
              <w:rPr/>
              <w:t>%</w:t>
            </w:r>
          </w:p>
        </w:tc>
        <w:tc>
          <w:tcPr>
            <w:tcW w:w="1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6.6</w:t>
            </w:r>
          </w:p>
        </w:tc>
        <w:tc>
          <w:tcPr>
            <w:tcW w:w="295" w:type="dxa"/>
            <w:tcBorders/>
            <w:shd w:fill="CCEEFF" w:val="clear"/>
            <w:vAlign w:val="center"/>
          </w:tcPr>
          <w:p>
            <w:pPr>
              <w:pStyle w:val="TableContents"/>
              <w:bidi w:val="0"/>
              <w:spacing w:before="0" w:after="283"/>
              <w:jc w:val="left"/>
              <w:rPr/>
            </w:pPr>
            <w:r>
              <w:rPr/>
              <w:t>%</w:t>
            </w:r>
          </w:p>
        </w:tc>
      </w:tr>
      <w:tr>
        <w:trPr/>
        <w:tc>
          <w:tcPr>
            <w:tcW w:w="3609" w:type="dxa"/>
            <w:tcBorders/>
            <w:vAlign w:val="center"/>
          </w:tcPr>
          <w:p>
            <w:pPr>
              <w:pStyle w:val="TableContents"/>
              <w:bidi w:val="0"/>
              <w:spacing w:before="0" w:after="283"/>
              <w:jc w:val="left"/>
              <w:rPr/>
            </w:pPr>
            <w:r>
              <w:rPr/>
              <w:t>Weighted average debt outstanding</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w:t>
            </w:r>
          </w:p>
        </w:tc>
        <w:tc>
          <w:tcPr>
            <w:tcW w:w="1057" w:type="dxa"/>
            <w:tcBorders/>
            <w:vAlign w:val="center"/>
          </w:tcPr>
          <w:p>
            <w:pPr>
              <w:pStyle w:val="TableContents"/>
              <w:bidi w:val="0"/>
              <w:spacing w:before="0" w:after="283"/>
              <w:jc w:val="right"/>
              <w:rPr/>
            </w:pPr>
            <w:r>
              <w:rPr/>
              <w:t>149,130</w:t>
            </w:r>
          </w:p>
        </w:tc>
        <w:tc>
          <w:tcPr>
            <w:tcW w:w="312"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w:t>
            </w:r>
          </w:p>
        </w:tc>
        <w:tc>
          <w:tcPr>
            <w:tcW w:w="1057" w:type="dxa"/>
            <w:tcBorders/>
            <w:vAlign w:val="center"/>
          </w:tcPr>
          <w:p>
            <w:pPr>
              <w:pStyle w:val="TableContents"/>
              <w:bidi w:val="0"/>
              <w:spacing w:before="0" w:after="283"/>
              <w:jc w:val="right"/>
              <w:rPr/>
            </w:pPr>
            <w:r>
              <w:rPr/>
              <w:t>151,623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033" w:type="dxa"/>
            <w:tcBorders/>
            <w:vAlign w:val="center"/>
          </w:tcPr>
          <w:p>
            <w:pPr>
              <w:pStyle w:val="TableContents"/>
              <w:bidi w:val="0"/>
              <w:spacing w:before="0" w:after="283"/>
              <w:jc w:val="right"/>
              <w:rPr/>
            </w:pPr>
            <w:r>
              <w:rPr/>
              <w:t>147,905</w:t>
            </w:r>
          </w:p>
        </w:tc>
        <w:tc>
          <w:tcPr>
            <w:tcW w:w="30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033" w:type="dxa"/>
            <w:tcBorders/>
            <w:vAlign w:val="center"/>
          </w:tcPr>
          <w:p>
            <w:pPr>
              <w:pStyle w:val="TableContents"/>
              <w:bidi w:val="0"/>
              <w:spacing w:before="0" w:after="283"/>
              <w:jc w:val="right"/>
              <w:rPr/>
            </w:pPr>
            <w:r>
              <w:rPr/>
              <w:t>143,377</w:t>
            </w:r>
          </w:p>
        </w:tc>
        <w:tc>
          <w:tcPr>
            <w:tcW w:w="295"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SS&amp;C Technologies, Inc. (“SS&amp;C”) serves as the administrator of the Company and provides the Company with fund accounting and financial reporting services pursuant to the services agreement with the Company since August 9, 2022. Effective September 12, 2022, Computershare Trust Company, N.A. (“Computershare”) serves as custodian for the Company pursuant to its Loan Administration and Custodial Agreement with the Company. For the three and nine months ended June 30, 2026 we incurred approximately $0.1 million and $0.3 million in administrator expenses, respectively. For the three and nine months ended June 30, 2025 we incurred approximately $0.1 million and $0.3 million in administrator expenses,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$0.1 million and $0.0 million was included in “administrator expenses payable” in the accompanying Consolidated Statements of Assets and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Cash Incentive Plan</w:t>
      </w:r>
    </w:p>
    <w:p>
      <w:pPr>
        <w:pStyle w:val="TextBody"/>
        <w:bidi w:val="0"/>
        <w:spacing w:before="0" w:after="0"/>
        <w:ind w:left="8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2022, the board of directors of the Company adopted the PhenixFIN 2022 Long-Term Cash Incentive Plan (the “CIP”) pursuant to the recommendation by the Compensation Committee of the board of directors. The CIP provides for performance-based cash awards to key employees of the Company, as approved by the Compensation Committee, based on the achievement of pre-established financial goals for the approved performance period. The performance goals may be expressed as one or a combination of net asset value of the Company, net asset value per share of the Company’s common stock, changes in the market price of shares of the Company’s common stock, individual performance metrics and/or such other goals and objectives the Committee considers relevant in connection with accomplishing the purposes of the CIP.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pursuant to the CIP, the Compensation Committee approved awards for Mr. Lorber and Ms. McMillan for the three-year performance period commencing on October 1, 2022 and ending on September 30, 2025 (the “2023 LTIP Plan”). Each participant is eligible to receive an amount of cash equal to a percentage of their target award amount based on the factors described above. The Compensation Committee, in approving the awards, evaluated each performance goal separately.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pursuant to the CIP, the Compensation Committee approved awards for Mr. Lorber and Ms. McMillan for the three-year performance period commencing on October 1, 2023 and ending on September 30, 2026 (the “2024 LTIP Plan”). Each participant is eligible to receive an amount of cash equal to a percentage of their target award amount based on the factors described above. The Compensation Committee, in approving the awards, evaluated each performance goal separately.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pursuant to the CIP, the Compensation Committee approved awards for Mr. Lorber and Ms. McMillan for the three-year performance period commencing on October 1, 2024 and ending on September 30, 2027 (the “2025 LTIP Plan”). Each participant is eligible to receive an amount of cash equal to a percentage of their target award amount based on the factors described above. The threshold, target, and maximum performance levels are structured similar to those of the CIP. The Compensation Committee, in approving the awards, evaluated each performance goal separately.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pursuant to the CIP, the Compensation Committee approved awards for Mr. Lorber and Ms. McMillan for the three-year performance period commencing on October 1, 2025 and ending on September 30, 2028 (the “2026 LTIP Plan”). Each participant is eligible to receive an amount of cash equal to a percentage of their target award amount based on the factors described above. The threshold, target, and maximum performance levels are structured similar to those of the CIP. The Compensation Committee, in approving the awards, evaluated each performance goal separately.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6. Agreements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Performance Award for each executive officer for the 2023 LTIP Plan, the 2024 LTIP Plan, the 2025 LTIP Plan and the 2026 LTIP Plan is set forth in the table below:</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99"/>
        <w:gridCol w:w="90"/>
        <w:gridCol w:w="230"/>
        <w:gridCol w:w="1125"/>
        <w:gridCol w:w="90"/>
        <w:gridCol w:w="90"/>
        <w:gridCol w:w="230"/>
        <w:gridCol w:w="1125"/>
        <w:gridCol w:w="90"/>
        <w:gridCol w:w="90"/>
        <w:gridCol w:w="170"/>
        <w:gridCol w:w="1190"/>
        <w:gridCol w:w="90"/>
        <w:gridCol w:w="90"/>
        <w:gridCol w:w="204"/>
        <w:gridCol w:w="1366"/>
        <w:gridCol w:w="136"/>
      </w:tblGrid>
      <w:tr>
        <w:trPr/>
        <w:tc>
          <w:tcPr>
            <w:tcW w:w="3799" w:type="dxa"/>
            <w:tcBorders>
              <w:bottom w:val="single" w:sz="12" w:space="0" w:color="000000"/>
            </w:tcBorders>
            <w:vAlign w:val="center"/>
          </w:tcPr>
          <w:p>
            <w:pPr>
              <w:pStyle w:val="TableContents"/>
              <w:bidi w:val="0"/>
              <w:spacing w:before="0" w:after="283"/>
              <w:ind w:left="0" w:right="0" w:hanging="180"/>
              <w:jc w:val="left"/>
              <w:rPr>
                <w:b/>
              </w:rPr>
            </w:pPr>
            <w:r>
              <w:rPr>
                <w:b/>
              </w:rPr>
              <w:t>Name and Title</w:t>
            </w:r>
          </w:p>
        </w:tc>
        <w:tc>
          <w:tcPr>
            <w:tcW w:w="90" w:type="dxa"/>
            <w:tcBorders/>
            <w:tcMar>
              <w:bottom w:w="0" w:type="dxa"/>
            </w:tcMar>
            <w:vAlign w:val="center"/>
          </w:tcPr>
          <w:p>
            <w:pPr>
              <w:pStyle w:val="TableContents"/>
              <w:bidi w:val="0"/>
              <w:spacing w:before="0" w:after="283"/>
              <w:jc w:val="left"/>
              <w:rPr/>
            </w:pPr>
            <w:r>
              <w:rPr/>
              <w:t> </w:t>
            </w:r>
          </w:p>
        </w:tc>
        <w:tc>
          <w:tcPr>
            <w:tcW w:w="1355" w:type="dxa"/>
            <w:gridSpan w:val="2"/>
            <w:tcBorders>
              <w:bottom w:val="single" w:sz="12" w:space="0" w:color="000000"/>
            </w:tcBorders>
            <w:vAlign w:val="center"/>
          </w:tcPr>
          <w:p>
            <w:pPr>
              <w:pStyle w:val="TableContents"/>
              <w:bidi w:val="0"/>
              <w:spacing w:before="0" w:after="283"/>
              <w:jc w:val="center"/>
              <w:rPr>
                <w:b/>
              </w:rPr>
            </w:pPr>
            <w:r>
              <w:rPr>
                <w:b/>
              </w:rPr>
              <w:t>2023 LTIP</w:t>
              <w:br/>
              <w:t>Dollar Value</w:t>
              <w:br/>
              <w:t>of Target</w:t>
              <w:br/>
              <w:t>Award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5" w:type="dxa"/>
            <w:gridSpan w:val="2"/>
            <w:tcBorders>
              <w:bottom w:val="single" w:sz="12" w:space="0" w:color="000000"/>
            </w:tcBorders>
            <w:vAlign w:val="center"/>
          </w:tcPr>
          <w:p>
            <w:pPr>
              <w:pStyle w:val="TableContents"/>
              <w:bidi w:val="0"/>
              <w:spacing w:before="0" w:after="283"/>
              <w:jc w:val="center"/>
              <w:rPr>
                <w:b/>
              </w:rPr>
            </w:pPr>
            <w:r>
              <w:rPr>
                <w:b/>
              </w:rPr>
              <w:t>2024 LTIP</w:t>
              <w:br/>
              <w:t>Dollar Value</w:t>
              <w:br/>
              <w:t>of Target</w:t>
              <w:br/>
              <w:t>Award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2025 LTIP</w:t>
              <w:br/>
              <w:t>Dollar Value</w:t>
              <w:br/>
              <w:t>of Target</w:t>
              <w:br/>
              <w:t>Award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70" w:type="dxa"/>
            <w:gridSpan w:val="2"/>
            <w:tcBorders>
              <w:bottom w:val="single" w:sz="12" w:space="0" w:color="000000"/>
            </w:tcBorders>
            <w:vAlign w:val="center"/>
          </w:tcPr>
          <w:p>
            <w:pPr>
              <w:pStyle w:val="TableContents"/>
              <w:bidi w:val="0"/>
              <w:spacing w:before="0" w:after="283"/>
              <w:jc w:val="center"/>
              <w:rPr>
                <w:b/>
              </w:rPr>
            </w:pPr>
            <w:r>
              <w:rPr>
                <w:b/>
              </w:rPr>
              <w:t>2026 LTIP</w:t>
              <w:br/>
              <w:t xml:space="preserve">Dollar Value </w:t>
              <w:br/>
              <w:t>of Target Award</w:t>
            </w:r>
          </w:p>
        </w:tc>
        <w:tc>
          <w:tcPr>
            <w:tcW w:w="136" w:type="dxa"/>
            <w:tcBorders/>
            <w:tcMar>
              <w:bottom w:w="0" w:type="dxa"/>
            </w:tcMar>
            <w:vAlign w:val="center"/>
          </w:tcPr>
          <w:p>
            <w:pPr>
              <w:pStyle w:val="TableContents"/>
              <w:bidi w:val="0"/>
              <w:spacing w:before="0" w:after="283"/>
              <w:ind w:left="0" w:right="0" w:hanging="180"/>
              <w:jc w:val="left"/>
              <w:rPr/>
            </w:pPr>
            <w:r>
              <w:rPr/>
              <w:t> </w:t>
            </w:r>
          </w:p>
        </w:tc>
      </w:tr>
      <w:tr>
        <w:trPr/>
        <w:tc>
          <w:tcPr>
            <w:tcW w:w="3799" w:type="dxa"/>
            <w:tcBorders/>
            <w:shd w:fill="CCEEFF" w:val="clear"/>
            <w:tcMar>
              <w:bottom w:w="0" w:type="dxa"/>
            </w:tcMar>
            <w:vAlign w:val="center"/>
          </w:tcPr>
          <w:p>
            <w:pPr>
              <w:pStyle w:val="TableContents"/>
              <w:bidi w:val="0"/>
              <w:spacing w:before="0" w:after="283"/>
              <w:jc w:val="left"/>
              <w:rPr/>
            </w:pPr>
            <w:r>
              <w:rPr/>
              <w:t>David Lorber, Chairman of the Board and Chief Executive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w:t>
            </w:r>
          </w:p>
        </w:tc>
        <w:tc>
          <w:tcPr>
            <w:tcW w:w="1125" w:type="dxa"/>
            <w:tcBorders/>
            <w:shd w:fill="CCEEFF" w:val="clear"/>
            <w:tcMar>
              <w:bottom w:w="0" w:type="dxa"/>
            </w:tcMar>
            <w:vAlign w:val="center"/>
          </w:tcPr>
          <w:p>
            <w:pPr>
              <w:pStyle w:val="TableContents"/>
              <w:bidi w:val="0"/>
              <w:spacing w:before="0" w:after="283"/>
              <w:jc w:val="right"/>
              <w:rPr/>
            </w:pPr>
            <w:r>
              <w:rPr/>
              <w:t>890,000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w:t>
            </w:r>
          </w:p>
        </w:tc>
        <w:tc>
          <w:tcPr>
            <w:tcW w:w="1125" w:type="dxa"/>
            <w:tcBorders/>
            <w:shd w:fill="CCEEFF" w:val="clear"/>
            <w:tcMar>
              <w:bottom w:w="0" w:type="dxa"/>
            </w:tcMar>
            <w:vAlign w:val="center"/>
          </w:tcPr>
          <w:p>
            <w:pPr>
              <w:pStyle w:val="TableContents"/>
              <w:bidi w:val="0"/>
              <w:spacing w:before="0" w:after="283"/>
              <w:jc w:val="right"/>
              <w:rPr/>
            </w:pPr>
            <w:r>
              <w:rPr/>
              <w:t>890,000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0" w:type="dxa"/>
            <w:tcBorders/>
            <w:shd w:fill="CCEEFF" w:val="clear"/>
            <w:tcMar>
              <w:bottom w:w="0" w:type="dxa"/>
            </w:tcMar>
            <w:vAlign w:val="center"/>
          </w:tcPr>
          <w:p>
            <w:pPr>
              <w:pStyle w:val="TableContents"/>
              <w:bidi w:val="0"/>
              <w:spacing w:before="0" w:after="283"/>
              <w:jc w:val="right"/>
              <w:rPr/>
            </w:pPr>
            <w:r>
              <w:rPr/>
              <w:t>   </w:t>
            </w:r>
            <w:r>
              <w:rPr/>
              <w:t>1,000,000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w:t>
            </w:r>
          </w:p>
        </w:tc>
        <w:tc>
          <w:tcPr>
            <w:tcW w:w="1366" w:type="dxa"/>
            <w:tcBorders/>
            <w:shd w:fill="CCEEFF" w:val="clear"/>
            <w:tcMar>
              <w:bottom w:w="0" w:type="dxa"/>
            </w:tcMar>
            <w:vAlign w:val="center"/>
          </w:tcPr>
          <w:p>
            <w:pPr>
              <w:pStyle w:val="TableContents"/>
              <w:bidi w:val="0"/>
              <w:spacing w:before="0" w:after="283"/>
              <w:jc w:val="right"/>
              <w:rPr/>
            </w:pPr>
            <w:r>
              <w:rPr/>
              <w:t>  </w:t>
            </w:r>
            <w:r>
              <w:rPr/>
              <w:t>1,000,000</w:t>
            </w:r>
          </w:p>
        </w:tc>
        <w:tc>
          <w:tcPr>
            <w:tcW w:w="13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799" w:type="dxa"/>
            <w:tcBorders/>
            <w:tcMar>
              <w:bottom w:w="0" w:type="dxa"/>
            </w:tcMar>
            <w:vAlign w:val="center"/>
          </w:tcPr>
          <w:p>
            <w:pPr>
              <w:pStyle w:val="TableContents"/>
              <w:bidi w:val="0"/>
              <w:spacing w:before="0" w:after="283"/>
              <w:jc w:val="left"/>
              <w:rPr/>
            </w:pPr>
            <w:r>
              <w:rPr/>
              <w:t>Ellida McMillan, Chief Financial Officer</w:t>
            </w:r>
          </w:p>
        </w:tc>
        <w:tc>
          <w:tcPr>
            <w:tcW w:w="90" w:type="dxa"/>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c>
          <w:tcPr>
            <w:tcW w:w="1125" w:type="dxa"/>
            <w:tcBorders/>
            <w:tcMar>
              <w:bottom w:w="0" w:type="dxa"/>
            </w:tcMar>
            <w:vAlign w:val="center"/>
          </w:tcPr>
          <w:p>
            <w:pPr>
              <w:pStyle w:val="TableContents"/>
              <w:bidi w:val="0"/>
              <w:spacing w:before="0" w:after="283"/>
              <w:jc w:val="right"/>
              <w:rPr/>
            </w:pPr>
            <w:r>
              <w:rPr/>
              <w:t>380,000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c>
          <w:tcPr>
            <w:tcW w:w="1125" w:type="dxa"/>
            <w:tcBorders/>
            <w:tcMar>
              <w:bottom w:w="0" w:type="dxa"/>
            </w:tcMar>
            <w:vAlign w:val="center"/>
          </w:tcPr>
          <w:p>
            <w:pPr>
              <w:pStyle w:val="TableContents"/>
              <w:bidi w:val="0"/>
              <w:spacing w:before="0" w:after="283"/>
              <w:jc w:val="right"/>
              <w:rPr/>
            </w:pPr>
            <w:r>
              <w:rPr/>
              <w:t>380,000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right"/>
              <w:rPr/>
            </w:pPr>
            <w:r>
              <w:rPr/>
              <w:t>425,000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4" w:type="dxa"/>
            <w:tcBorders/>
            <w:tcMar>
              <w:bottom w:w="0" w:type="dxa"/>
            </w:tcMar>
            <w:vAlign w:val="center"/>
          </w:tcPr>
          <w:p>
            <w:pPr>
              <w:pStyle w:val="TableContents"/>
              <w:bidi w:val="0"/>
              <w:spacing w:before="0" w:after="283"/>
              <w:jc w:val="left"/>
              <w:rPr/>
            </w:pPr>
            <w:r>
              <w:rPr/>
              <w:t> </w:t>
            </w:r>
          </w:p>
        </w:tc>
        <w:tc>
          <w:tcPr>
            <w:tcW w:w="1366" w:type="dxa"/>
            <w:tcBorders/>
            <w:tcMar>
              <w:bottom w:w="0" w:type="dxa"/>
            </w:tcMar>
            <w:vAlign w:val="center"/>
          </w:tcPr>
          <w:p>
            <w:pPr>
              <w:pStyle w:val="TableContents"/>
              <w:bidi w:val="0"/>
              <w:spacing w:before="0" w:after="283"/>
              <w:jc w:val="right"/>
              <w:rPr/>
            </w:pPr>
            <w:r>
              <w:rPr/>
              <w:t>425,000</w:t>
            </w:r>
          </w:p>
        </w:tc>
        <w:tc>
          <w:tcPr>
            <w:tcW w:w="136"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June 30, 2026, the Company recorded an expense of $0 and $0, respectively, for these awards. During the three and nine months ended June 30, 2025, the Company recorded an expense of $275,342 and $905,510, respectively, for these awards.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contracts with its affiliated portfolio companies, The National Security Group (and certain of its affiliates) and ECC Capital Corporation, pursuant to which the Company (and/or certain of its subsidiaries) provide such affiliated portfolio companies certain services, including managing a portion of their assets. During the three and nine months ended June 30, 2026, the Company recognized $0.2 million and $0.5 million of income, respectively, related to these contracts. During the three and nine months ended June 30, 2025, the Company recognized $0.4 million and $0.6 million of income, respectively, related to these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from/to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affiliates at June 30, 2026 and September 30, 2025 consists of certain legal and general and administrative expenses paid by the Company on behalf of certain of its affiliates. Due to affiliates at June 30, 2026 and September 30, 2025 consists of certain expenses payable by the Company to certain of its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Commitments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Unfunded commitments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we had commitments under loan and financing agreements to fund up to $10.6 million to eight portfolio companies and $5.5 million to six portfolio companies, respectively. These commitments are primarily composed of senior secured delayed draw term loans and revolvers, and the determination of their fair value is included in the Consolidated Schedules of Investments. The commitments are generally subject to the borrowers meeting certain criteria such as compliance with covenants and certain operational metrics. The terms of the borrowings and financings subject to commitment are comparable to the terms of other loan and equity securities in our portfolio. The Company maintains adequate liquidity to fund its unfunded commitments. A summary of the composition of the unfunded commitments as of June 30, 2026 and September 30, 2025 is shown in the table below (dollars in thousands):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8. Commitments</w:t>
      </w:r>
      <w:r>
        <w:rPr>
          <w:rFonts w:ascii="Times New Roman;Times;Serif" w:hAnsi="Times New Roman;Times;Serif"/>
          <w:b w:val="false"/>
          <w:i w:val="false"/>
          <w:caps w:val="false"/>
          <w:smallCaps w:val="false"/>
          <w:sz w:val="20"/>
        </w:rPr>
        <w:t xml:space="preserve"> (continued)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80"/>
        <w:gridCol w:w="90"/>
        <w:gridCol w:w="170"/>
        <w:gridCol w:w="1370"/>
        <w:gridCol w:w="90"/>
        <w:gridCol w:w="90"/>
        <w:gridCol w:w="170"/>
        <w:gridCol w:w="1910"/>
        <w:gridCol w:w="135"/>
      </w:tblGrid>
      <w:tr>
        <w:trPr/>
        <w:tc>
          <w:tcPr>
            <w:tcW w:w="618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135" w:type="dxa"/>
            <w:tcBorders/>
            <w:vAlign w:val="center"/>
          </w:tcPr>
          <w:p>
            <w:pPr>
              <w:pStyle w:val="TableContents"/>
              <w:bidi w:val="0"/>
              <w:spacing w:before="0" w:after="283"/>
              <w:ind w:left="0" w:right="0" w:hanging="180"/>
              <w:jc w:val="left"/>
              <w:rPr/>
            </w:pPr>
            <w:r>
              <w:rPr/>
              <w:t> </w:t>
            </w:r>
          </w:p>
        </w:tc>
      </w:tr>
      <w:tr>
        <w:trPr/>
        <w:tc>
          <w:tcPr>
            <w:tcW w:w="6180" w:type="dxa"/>
            <w:tcBorders/>
            <w:shd w:fill="CCEEFF" w:val="clear"/>
            <w:vAlign w:val="center"/>
          </w:tcPr>
          <w:p>
            <w:pPr>
              <w:pStyle w:val="TableContents"/>
              <w:bidi w:val="0"/>
              <w:spacing w:before="0" w:after="283"/>
              <w:jc w:val="left"/>
              <w:rPr/>
            </w:pPr>
            <w:r>
              <w:rPr/>
              <w:t>MB Precision Investment Holdings LLC - Senior Secured First Lien Revolver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10" w:type="dxa"/>
            <w:tcBorders/>
            <w:shd w:fill="CCEEFF" w:val="clear"/>
            <w:vAlign w:val="center"/>
          </w:tcPr>
          <w:p>
            <w:pPr>
              <w:pStyle w:val="TableContents"/>
              <w:bidi w:val="0"/>
              <w:spacing w:before="0" w:after="283"/>
              <w:jc w:val="right"/>
              <w:rPr/>
            </w:pPr>
            <w:r>
              <w:rPr/>
              <w:t>85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180" w:type="dxa"/>
            <w:tcBorders/>
            <w:vAlign w:val="center"/>
          </w:tcPr>
          <w:p>
            <w:pPr>
              <w:pStyle w:val="TableContents"/>
              <w:bidi w:val="0"/>
              <w:spacing w:before="0" w:after="283"/>
              <w:jc w:val="left"/>
              <w:rPr/>
            </w:pPr>
            <w:r>
              <w:rPr/>
              <w:t>MB Precision Investment Holdings LLC - Senior Secured Delayed Draw Term Loan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right"/>
              <w:rPr/>
            </w:pPr>
            <w:r>
              <w:rPr/>
              <w:t>1,521</w:t>
            </w:r>
          </w:p>
        </w:tc>
        <w:tc>
          <w:tcPr>
            <w:tcW w:w="135" w:type="dxa"/>
            <w:tcBorders/>
            <w:vAlign w:val="center"/>
          </w:tcPr>
          <w:p>
            <w:pPr>
              <w:pStyle w:val="TableContents"/>
              <w:bidi w:val="0"/>
              <w:spacing w:before="0" w:after="283"/>
              <w:ind w:left="0" w:right="0" w:hanging="180"/>
              <w:jc w:val="left"/>
              <w:rPr/>
            </w:pPr>
            <w:r>
              <w:rPr/>
              <w:t> </w:t>
            </w:r>
          </w:p>
        </w:tc>
      </w:tr>
      <w:tr>
        <w:trPr/>
        <w:tc>
          <w:tcPr>
            <w:tcW w:w="6180" w:type="dxa"/>
            <w:tcBorders/>
            <w:shd w:fill="CCEEFF" w:val="clear"/>
            <w:vAlign w:val="center"/>
          </w:tcPr>
          <w:p>
            <w:pPr>
              <w:pStyle w:val="TableContents"/>
              <w:bidi w:val="0"/>
              <w:spacing w:before="0" w:after="283"/>
              <w:jc w:val="left"/>
              <w:rPr/>
            </w:pPr>
            <w:r>
              <w:rPr/>
              <w:t>PREIT Associates - Revolver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61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180" w:type="dxa"/>
            <w:tcBorders/>
            <w:vAlign w:val="center"/>
          </w:tcPr>
          <w:p>
            <w:pPr>
              <w:pStyle w:val="TableContents"/>
              <w:bidi w:val="0"/>
              <w:spacing w:before="0" w:after="283"/>
              <w:jc w:val="left"/>
              <w:rPr/>
            </w:pPr>
            <w:r>
              <w:rPr/>
              <w:t>PSB Group, LLC - Revolver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882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right"/>
              <w:rPr/>
            </w:pPr>
            <w:r>
              <w:rPr/>
              <w:t>472</w:t>
            </w:r>
          </w:p>
        </w:tc>
        <w:tc>
          <w:tcPr>
            <w:tcW w:w="135" w:type="dxa"/>
            <w:tcBorders/>
            <w:vAlign w:val="center"/>
          </w:tcPr>
          <w:p>
            <w:pPr>
              <w:pStyle w:val="TableContents"/>
              <w:bidi w:val="0"/>
              <w:spacing w:before="0" w:after="283"/>
              <w:ind w:left="0" w:right="0" w:hanging="180"/>
              <w:jc w:val="left"/>
              <w:rPr/>
            </w:pPr>
            <w:r>
              <w:rPr/>
              <w:t> </w:t>
            </w:r>
          </w:p>
        </w:tc>
      </w:tr>
      <w:tr>
        <w:trPr/>
        <w:tc>
          <w:tcPr>
            <w:tcW w:w="6180" w:type="dxa"/>
            <w:tcBorders/>
            <w:shd w:fill="CCEEFF" w:val="clear"/>
            <w:vAlign w:val="center"/>
          </w:tcPr>
          <w:p>
            <w:pPr>
              <w:pStyle w:val="TableContents"/>
              <w:bidi w:val="0"/>
              <w:spacing w:before="0" w:after="283"/>
              <w:jc w:val="left"/>
              <w:rPr/>
            </w:pPr>
            <w:r>
              <w:rPr/>
              <w:t>SS Acquisition, LLC (dba Soccer Shots Franchising) - Revolver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r>
              <w:rPr/>
              <w:t>1,029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                      </w:t>
            </w:r>
            <w:r>
              <w:rPr/>
              <w:t>1,029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180" w:type="dxa"/>
            <w:tcBorders/>
            <w:vAlign w:val="center"/>
          </w:tcPr>
          <w:p>
            <w:pPr>
              <w:pStyle w:val="TableContents"/>
              <w:bidi w:val="0"/>
              <w:spacing w:before="0" w:after="283"/>
              <w:jc w:val="left"/>
              <w:rPr/>
            </w:pPr>
            <w:r>
              <w:rPr/>
              <w:t>Tamarix Capital Partners II, L.P. - Fund Investment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865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right"/>
              <w:rPr/>
            </w:pPr>
            <w:r>
              <w:rPr/>
              <w:t>865</w:t>
            </w:r>
          </w:p>
        </w:tc>
        <w:tc>
          <w:tcPr>
            <w:tcW w:w="135" w:type="dxa"/>
            <w:tcBorders/>
            <w:vAlign w:val="center"/>
          </w:tcPr>
          <w:p>
            <w:pPr>
              <w:pStyle w:val="TableContents"/>
              <w:bidi w:val="0"/>
              <w:spacing w:before="0" w:after="283"/>
              <w:ind w:left="0" w:right="0" w:hanging="180"/>
              <w:jc w:val="left"/>
              <w:rPr/>
            </w:pPr>
            <w:r>
              <w:rPr/>
              <w:t> </w:t>
            </w:r>
          </w:p>
        </w:tc>
      </w:tr>
      <w:tr>
        <w:trPr/>
        <w:tc>
          <w:tcPr>
            <w:tcW w:w="6180" w:type="dxa"/>
            <w:tcBorders/>
            <w:shd w:fill="CCEEFF" w:val="clear"/>
            <w:vAlign w:val="center"/>
          </w:tcPr>
          <w:p>
            <w:pPr>
              <w:pStyle w:val="TableContents"/>
              <w:bidi w:val="0"/>
              <w:spacing w:before="0" w:after="283"/>
              <w:jc w:val="left"/>
              <w:rPr/>
            </w:pPr>
            <w:r>
              <w:rPr/>
              <w:t>WHI Global, LLC - Revolver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1,484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180" w:type="dxa"/>
            <w:tcBorders/>
            <w:vAlign w:val="center"/>
          </w:tcPr>
          <w:p>
            <w:pPr>
              <w:pStyle w:val="TableContents"/>
              <w:bidi w:val="0"/>
              <w:spacing w:before="0" w:after="283"/>
              <w:jc w:val="left"/>
              <w:rPr/>
            </w:pPr>
            <w:r>
              <w:rPr/>
              <w:t>Advocates for Disabled Vets, LLC (dba Reps for Vets) - Senior Secured Delayed Draw Term Loan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540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6180" w:type="dxa"/>
            <w:tcBorders/>
            <w:shd w:fill="CCEEFF" w:val="clear"/>
            <w:vAlign w:val="center"/>
          </w:tcPr>
          <w:p>
            <w:pPr>
              <w:pStyle w:val="TableContents"/>
              <w:bidi w:val="0"/>
              <w:spacing w:before="0" w:after="283"/>
              <w:jc w:val="left"/>
              <w:rPr/>
            </w:pPr>
            <w:r>
              <w:rPr/>
              <w:t>Kemmerer Operations, LLC – Senior Secured Delayed Draw Term Loan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CCEEFF" w:val="clear"/>
            <w:tcMar>
              <w:bottom w:w="28" w:type="dxa"/>
            </w:tcMar>
            <w:vAlign w:val="center"/>
          </w:tcPr>
          <w:p>
            <w:pPr>
              <w:pStyle w:val="TableContents"/>
              <w:bidi w:val="0"/>
              <w:spacing w:before="0" w:after="283"/>
              <w:jc w:val="right"/>
              <w:rPr/>
            </w:pPr>
            <w:r>
              <w:rPr/>
              <w:t>6,763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180" w:type="dxa"/>
            <w:tcBorders/>
            <w:vAlign w:val="center"/>
          </w:tcPr>
          <w:p>
            <w:pPr>
              <w:pStyle w:val="TableContents"/>
              <w:bidi w:val="0"/>
              <w:spacing w:before="0" w:after="283"/>
              <w:jc w:val="left"/>
              <w:rPr/>
            </w:pPr>
            <w:r>
              <w:rPr/>
              <w:t>Total unfunded commitments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370" w:type="dxa"/>
            <w:tcBorders>
              <w:bottom w:val="double" w:sz="10" w:space="0" w:color="000000"/>
            </w:tcBorders>
            <w:tcMar>
              <w:bottom w:w="28" w:type="dxa"/>
            </w:tcMar>
            <w:vAlign w:val="center"/>
          </w:tcPr>
          <w:p>
            <w:pPr>
              <w:pStyle w:val="TableContents"/>
              <w:bidi w:val="0"/>
              <w:spacing w:before="0" w:after="283"/>
              <w:jc w:val="right"/>
              <w:rPr/>
            </w:pPr>
            <w:r>
              <w:rPr/>
              <w:t>10,645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910" w:type="dxa"/>
            <w:tcBorders>
              <w:bottom w:val="double" w:sz="10" w:space="0" w:color="000000"/>
            </w:tcBorders>
            <w:tcMar>
              <w:bottom w:w="28" w:type="dxa"/>
            </w:tcMar>
            <w:vAlign w:val="center"/>
          </w:tcPr>
          <w:p>
            <w:pPr>
              <w:pStyle w:val="TableContents"/>
              <w:bidi w:val="0"/>
              <w:spacing w:before="0" w:after="283"/>
              <w:jc w:val="right"/>
              <w:rPr/>
            </w:pPr>
            <w:r>
              <w:rPr/>
              <w:t>5,517</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leases to determine whether they should be classified as operating or finance leases. PhenixFIN identified one operating lease for its office space. The lease commenced on September 5, 2021. On December 18, 2024, the Company amended the terms of the lease, contingent on certain events, extending the lease term until August 31, 2035, with a right to terminate on the 36th and 60th month anniversaries of September 5, 2025, as well as any time on or after the 84th month anniversary of September 5,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entering into the lease on September 5, 2021, PhenixFIN recorded a right-of-use asset and a lease liability as of that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the asset related to the operating lease was $2.3 million and $2.5 million, respectively, and is included in the Other assets balance on the Consolidated Balance Sheet. As of June 30, 2026 and September 30, 2025, the lease liability was $2.5 million and $2.4 million, respectively, and is included in the Other liabilities balance on the Consolidated Statements of Assets and Liabilities. As of June 30, 2026 and September 30, 2025, the remaining lease term was approximately nine and ten years respectively, and the implied borrowing rate was 6.85%.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future minimum payments under PhenixFIN’s operating lease as of June 30, 2026:</w:t>
      </w:r>
    </w:p>
    <w:p>
      <w:pPr>
        <w:pStyle w:val="TextBody"/>
        <w:bidi w:val="0"/>
        <w:spacing w:before="0" w:after="0"/>
        <w:jc w:val="both"/>
        <w:rPr>
          <w:caps w:val="false"/>
          <w:smallCaps w:val="false"/>
        </w:rPr>
      </w:pPr>
      <w:r>
        <w:rPr>
          <w:caps w:val="false"/>
          <w:smallCaps w:val="false"/>
        </w:rPr>
        <w:t> </w:t>
      </w:r>
    </w:p>
    <w:tbl>
      <w:tblPr>
        <w:tblW w:w="7235" w:type="dxa"/>
        <w:jc w:val="left"/>
        <w:tblInd w:w="0" w:type="dxa"/>
        <w:tblLayout w:type="fixed"/>
        <w:tblCellMar>
          <w:top w:w="0" w:type="dxa"/>
          <w:left w:w="0" w:type="dxa"/>
          <w:bottom w:w="28" w:type="dxa"/>
          <w:right w:w="0" w:type="dxa"/>
        </w:tblCellMar>
      </w:tblPr>
      <w:tblGrid>
        <w:gridCol w:w="5795"/>
        <w:gridCol w:w="90"/>
        <w:gridCol w:w="170"/>
        <w:gridCol w:w="1010"/>
        <w:gridCol w:w="170"/>
      </w:tblGrid>
      <w:tr>
        <w:trPr/>
        <w:tc>
          <w:tcPr>
            <w:tcW w:w="5795" w:type="dxa"/>
            <w:tcBorders>
              <w:bottom w:val="single" w:sz="12" w:space="0" w:color="000000"/>
            </w:tcBorders>
            <w:vAlign w:val="center"/>
          </w:tcPr>
          <w:p>
            <w:pPr>
              <w:pStyle w:val="TableContents"/>
              <w:bidi w:val="0"/>
              <w:spacing w:before="0" w:after="283"/>
              <w:jc w:val="left"/>
              <w:rPr>
                <w:b/>
              </w:rPr>
            </w:pPr>
            <w:r>
              <w:rPr>
                <w:b/>
              </w:rPr>
              <w:t>For the Years Ended September 30,</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70" w:type="dxa"/>
            <w:tcBorders/>
            <w:tcMar>
              <w:bottom w:w="0" w:type="dxa"/>
            </w:tcMar>
            <w:vAlign w:val="center"/>
          </w:tcPr>
          <w:p>
            <w:pPr>
              <w:pStyle w:val="TableContents"/>
              <w:bidi w:val="0"/>
              <w:spacing w:before="0" w:after="283"/>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79,538</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795" w:type="dxa"/>
            <w:tcBorders/>
            <w:tcMar>
              <w:bottom w:w="0" w:type="dxa"/>
            </w:tcMar>
            <w:vAlign w:val="center"/>
          </w:tcPr>
          <w:p>
            <w:pPr>
              <w:pStyle w:val="TableContents"/>
              <w:bidi w:val="0"/>
              <w:spacing w:before="0" w:after="283"/>
              <w:jc w:val="left"/>
              <w:rPr/>
            </w:pPr>
            <w:r>
              <w:rPr/>
              <w:t>2027</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325,261</w:t>
            </w:r>
          </w:p>
        </w:tc>
        <w:tc>
          <w:tcPr>
            <w:tcW w:w="170" w:type="dxa"/>
            <w:tcBorders/>
            <w:tcMar>
              <w:bottom w:w="0" w:type="dxa"/>
            </w:tcMar>
            <w:vAlign w:val="center"/>
          </w:tcPr>
          <w:p>
            <w:pPr>
              <w:pStyle w:val="TableContents"/>
              <w:bidi w:val="0"/>
              <w:spacing w:before="0" w:after="283"/>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335,019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795" w:type="dxa"/>
            <w:tcBorders/>
            <w:tcMar>
              <w:bottom w:w="0" w:type="dxa"/>
            </w:tcMar>
            <w:vAlign w:val="center"/>
          </w:tcPr>
          <w:p>
            <w:pPr>
              <w:pStyle w:val="TableContents"/>
              <w:bidi w:val="0"/>
              <w:spacing w:before="0" w:after="283"/>
              <w:jc w:val="left"/>
              <w:rPr/>
            </w:pPr>
            <w:r>
              <w:rPr/>
              <w:t>2029</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345,070</w:t>
            </w:r>
          </w:p>
        </w:tc>
        <w:tc>
          <w:tcPr>
            <w:tcW w:w="170" w:type="dxa"/>
            <w:tcBorders/>
            <w:tcMar>
              <w:bottom w:w="0" w:type="dxa"/>
            </w:tcMar>
            <w:vAlign w:val="center"/>
          </w:tcPr>
          <w:p>
            <w:pPr>
              <w:pStyle w:val="TableContents"/>
              <w:bidi w:val="0"/>
              <w:spacing w:before="0" w:after="283"/>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355,422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795" w:type="dxa"/>
            <w:tcBorders/>
            <w:tcMar>
              <w:bottom w:w="0" w:type="dxa"/>
            </w:tcMar>
            <w:vAlign w:val="center"/>
          </w:tcPr>
          <w:p>
            <w:pPr>
              <w:pStyle w:val="TableContents"/>
              <w:bidi w:val="0"/>
              <w:spacing w:before="0" w:after="283"/>
              <w:jc w:val="left"/>
              <w:rPr/>
            </w:pPr>
            <w:r>
              <w:rPr/>
              <w:t>Thereafter</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1,908,314</w:t>
            </w:r>
          </w:p>
        </w:tc>
        <w:tc>
          <w:tcPr>
            <w:tcW w:w="170" w:type="dxa"/>
            <w:tcBorders/>
            <w:tcMar>
              <w:bottom w:w="0" w:type="dxa"/>
            </w:tcMar>
            <w:vAlign w:val="center"/>
          </w:tcPr>
          <w:p>
            <w:pPr>
              <w:pStyle w:val="TableContents"/>
              <w:bidi w:val="0"/>
              <w:spacing w:before="0" w:after="283"/>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3,348,624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795" w:type="dxa"/>
            <w:tcBorders/>
            <w:tcMar>
              <w:bottom w:w="0" w:type="dxa"/>
            </w:tcMar>
            <w:vAlign w:val="center"/>
          </w:tcPr>
          <w:p>
            <w:pPr>
              <w:pStyle w:val="TableContents"/>
              <w:bidi w:val="0"/>
              <w:spacing w:before="0" w:after="283"/>
              <w:jc w:val="left"/>
              <w:rPr/>
            </w:pPr>
            <w:r>
              <w:rPr/>
              <w:t>Difference between undiscounted and discounted cash flows</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(885,585</w:t>
            </w:r>
          </w:p>
        </w:tc>
        <w:tc>
          <w:tcPr>
            <w:tcW w:w="170" w:type="dxa"/>
            <w:tcBorders/>
            <w:tcMar>
              <w:bottom w:w="0" w:type="dxa"/>
            </w:tcMar>
            <w:vAlign w:val="center"/>
          </w:tcPr>
          <w:p>
            <w:pPr>
              <w:pStyle w:val="TableContents"/>
              <w:bidi w:val="0"/>
              <w:spacing w:before="0" w:after="283"/>
              <w:jc w:val="left"/>
              <w:rPr/>
            </w:pPr>
            <w:r>
              <w:rPr/>
              <w:t>)</w:t>
            </w:r>
          </w:p>
        </w:tc>
      </w:tr>
      <w:tr>
        <w:trPr/>
        <w:tc>
          <w:tcPr>
            <w:tcW w:w="57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1010" w:type="dxa"/>
            <w:tcBorders>
              <w:bottom w:val="double" w:sz="10" w:space="0" w:color="000000"/>
            </w:tcBorders>
            <w:shd w:fill="CCEEFF" w:val="clear"/>
            <w:vAlign w:val="center"/>
          </w:tcPr>
          <w:p>
            <w:pPr>
              <w:pStyle w:val="TableContents"/>
              <w:bidi w:val="0"/>
              <w:spacing w:before="0" w:after="283"/>
              <w:jc w:val="right"/>
              <w:rPr/>
            </w:pPr>
            <w:r>
              <w:rPr/>
              <w:t>2,463,039</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Fee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income consists of amendment fees, prepayment penalty and other fees which are non-recurring in nature, as well as administrative agent fees and management fees, which are recurring in nature. The following table summarizes the Company’s fee income for the three and nine months ended June 30, 2026 and 2025 (dollars in thousands): </w:t>
      </w:r>
    </w:p>
    <w:p>
      <w:pPr>
        <w:pStyle w:val="TextBody"/>
        <w:bidi w:val="0"/>
        <w:spacing w:before="0" w:after="0"/>
        <w:jc w:val="both"/>
        <w:rPr>
          <w:caps w:val="false"/>
          <w:smallCaps w:val="false"/>
        </w:rPr>
      </w:pPr>
      <w:r>
        <w:rPr>
          <w:caps w:val="false"/>
          <w:smallCaps w:val="false"/>
        </w:rPr>
        <w:t> </w:t>
      </w:r>
    </w:p>
    <w:tbl>
      <w:tblPr>
        <w:tblW w:w="8998" w:type="dxa"/>
        <w:jc w:val="left"/>
        <w:tblInd w:w="0" w:type="dxa"/>
        <w:tblLayout w:type="fixed"/>
        <w:tblCellMar>
          <w:top w:w="0" w:type="dxa"/>
          <w:left w:w="0" w:type="dxa"/>
          <w:bottom w:w="0" w:type="dxa"/>
          <w:right w:w="0" w:type="dxa"/>
        </w:tblCellMar>
      </w:tblPr>
      <w:tblGrid>
        <w:gridCol w:w="2375"/>
        <w:gridCol w:w="90"/>
        <w:gridCol w:w="386"/>
        <w:gridCol w:w="933"/>
        <w:gridCol w:w="204"/>
        <w:gridCol w:w="204"/>
        <w:gridCol w:w="386"/>
        <w:gridCol w:w="933"/>
        <w:gridCol w:w="90"/>
        <w:gridCol w:w="90"/>
        <w:gridCol w:w="377"/>
        <w:gridCol w:w="910"/>
        <w:gridCol w:w="199"/>
        <w:gridCol w:w="199"/>
        <w:gridCol w:w="377"/>
        <w:gridCol w:w="910"/>
        <w:gridCol w:w="335"/>
      </w:tblGrid>
      <w:tr>
        <w:trPr/>
        <w:tc>
          <w:tcPr>
            <w:tcW w:w="23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Nine Months Ended </w:t>
              <w:br/>
              <w:t>June 30,</w:t>
            </w:r>
          </w:p>
        </w:tc>
        <w:tc>
          <w:tcPr>
            <w:tcW w:w="33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0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3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Prepayment fee</w:t>
            </w:r>
          </w:p>
        </w:tc>
        <w:tc>
          <w:tcPr>
            <w:tcW w:w="9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0"/>
              <w:jc w:val="right"/>
              <w:rPr/>
            </w:pPr>
            <w:r>
              <w:rPr/>
              <w:t>-</w:t>
            </w:r>
          </w:p>
        </w:tc>
        <w:tc>
          <w:tcPr>
            <w:tcW w:w="20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0"/>
              <w:jc w:val="right"/>
              <w:rPr/>
            </w:pPr>
            <w:r>
              <w:rPr/>
              <w:t>-</w:t>
            </w:r>
          </w:p>
        </w:tc>
        <w:tc>
          <w:tcPr>
            <w:tcW w:w="1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0"/>
              <w:jc w:val="right"/>
              <w:rPr/>
            </w:pPr>
            <w:r>
              <w:rPr/>
              <w:t>-</w:t>
            </w:r>
          </w:p>
        </w:tc>
        <w:tc>
          <w:tcPr>
            <w:tcW w:w="33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Administrative agent fee</w:t>
            </w:r>
          </w:p>
        </w:tc>
        <w:tc>
          <w:tcPr>
            <w:tcW w:w="9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0"/>
              <w:jc w:val="right"/>
              <w:rPr/>
            </w:pPr>
            <w:r>
              <w:rPr/>
              <w:t>-</w:t>
            </w:r>
          </w:p>
        </w:tc>
        <w:tc>
          <w:tcPr>
            <w:tcW w:w="20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5</w:t>
            </w:r>
          </w:p>
        </w:tc>
        <w:tc>
          <w:tcPr>
            <w:tcW w:w="1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5</w:t>
            </w:r>
          </w:p>
        </w:tc>
        <w:tc>
          <w:tcPr>
            <w:tcW w:w="33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Amendment fee</w:t>
            </w:r>
          </w:p>
        </w:tc>
        <w:tc>
          <w:tcPr>
            <w:tcW w:w="9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0"/>
              <w:jc w:val="right"/>
              <w:rPr/>
            </w:pPr>
            <w:r>
              <w:rPr/>
              <w:t>-</w:t>
            </w:r>
          </w:p>
        </w:tc>
        <w:tc>
          <w:tcPr>
            <w:tcW w:w="20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0"/>
              <w:jc w:val="right"/>
              <w:rPr/>
            </w:pPr>
            <w:r>
              <w:rPr/>
              <w:t>-</w:t>
            </w:r>
          </w:p>
        </w:tc>
        <w:tc>
          <w:tcPr>
            <w:tcW w:w="1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4</w:t>
            </w:r>
          </w:p>
        </w:tc>
        <w:tc>
          <w:tcPr>
            <w:tcW w:w="33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Management fee</w:t>
            </w:r>
          </w:p>
        </w:tc>
        <w:tc>
          <w:tcPr>
            <w:tcW w:w="9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14</w:t>
            </w:r>
          </w:p>
        </w:tc>
        <w:tc>
          <w:tcPr>
            <w:tcW w:w="20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44</w:t>
            </w:r>
          </w:p>
        </w:tc>
        <w:tc>
          <w:tcPr>
            <w:tcW w:w="1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55</w:t>
            </w:r>
          </w:p>
        </w:tc>
        <w:tc>
          <w:tcPr>
            <w:tcW w:w="33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Other fees</w:t>
            </w:r>
          </w:p>
        </w:tc>
        <w:tc>
          <w:tcPr>
            <w:tcW w:w="90"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pPr>
            <w:r>
              <w:rPr/>
              <w:t>241</w:t>
            </w:r>
          </w:p>
        </w:tc>
        <w:tc>
          <w:tcPr>
            <w:tcW w:w="20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pPr>
            <w:r>
              <w:rPr/>
              <w:t>640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559</w:t>
            </w:r>
          </w:p>
        </w:tc>
        <w:tc>
          <w:tcPr>
            <w:tcW w:w="1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3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759</w:t>
            </w:r>
          </w:p>
        </w:tc>
        <w:tc>
          <w:tcPr>
            <w:tcW w:w="335" w:type="dxa"/>
            <w:tcBorders/>
            <w:shd w:fill="CCEEFF" w:val="clear"/>
            <w:vAlign w:val="center"/>
          </w:tcPr>
          <w:p>
            <w:pPr>
              <w:pStyle w:val="TableContents"/>
              <w:bidi w:val="0"/>
              <w:spacing w:before="0" w:after="283"/>
              <w:ind w:left="0" w:right="0" w:firstLine="200"/>
              <w:jc w:val="left"/>
              <w:rPr/>
            </w:pPr>
            <w:r>
              <w:rPr/>
              <w:t> </w:t>
            </w:r>
          </w:p>
        </w:tc>
      </w:tr>
      <w:tr>
        <w:trPr/>
        <w:tc>
          <w:tcPr>
            <w:tcW w:w="2375" w:type="dxa"/>
            <w:tcBorders/>
            <w:vAlign w:val="center"/>
          </w:tcPr>
          <w:p>
            <w:pPr>
              <w:pStyle w:val="TableContents"/>
              <w:bidi w:val="0"/>
              <w:spacing w:before="0" w:after="283"/>
              <w:jc w:val="left"/>
              <w:rPr/>
            </w:pPr>
            <w:r>
              <w:rPr/>
              <w:t>Fee income</w:t>
            </w:r>
          </w:p>
        </w:tc>
        <w:tc>
          <w:tcPr>
            <w:tcW w:w="90" w:type="dxa"/>
            <w:tcBorders/>
            <w:vAlign w:val="center"/>
          </w:tcPr>
          <w:p>
            <w:pPr>
              <w:pStyle w:val="TableContents"/>
              <w:bidi w:val="0"/>
              <w:spacing w:before="0" w:after="283"/>
              <w:jc w:val="left"/>
              <w:rPr/>
            </w:pPr>
            <w:r>
              <w:rPr/>
              <w:t> </w:t>
            </w:r>
          </w:p>
        </w:tc>
        <w:tc>
          <w:tcPr>
            <w:tcW w:w="386" w:type="dxa"/>
            <w:tcBorders>
              <w:bottom w:val="double" w:sz="10" w:space="0" w:color="000000"/>
            </w:tcBorders>
            <w:tcMar>
              <w:bottom w:w="28" w:type="dxa"/>
            </w:tcMar>
            <w:vAlign w:val="center"/>
          </w:tcPr>
          <w:p>
            <w:pPr>
              <w:pStyle w:val="TableContents"/>
              <w:bidi w:val="0"/>
              <w:spacing w:before="0" w:after="283"/>
              <w:jc w:val="left"/>
              <w:rPr/>
            </w:pPr>
            <w:r>
              <w:rPr/>
              <w:t>$</w:t>
            </w:r>
          </w:p>
        </w:tc>
        <w:tc>
          <w:tcPr>
            <w:tcW w:w="933" w:type="dxa"/>
            <w:tcBorders>
              <w:bottom w:val="double" w:sz="10" w:space="0" w:color="000000"/>
            </w:tcBorders>
            <w:tcMar>
              <w:bottom w:w="28" w:type="dxa"/>
            </w:tcMar>
            <w:vAlign w:val="center"/>
          </w:tcPr>
          <w:p>
            <w:pPr>
              <w:pStyle w:val="TableContents"/>
              <w:bidi w:val="0"/>
              <w:spacing w:before="0" w:after="283"/>
              <w:jc w:val="right"/>
              <w:rPr/>
            </w:pPr>
            <w:r>
              <w:rPr/>
              <w:t>255</w:t>
            </w:r>
          </w:p>
        </w:tc>
        <w:tc>
          <w:tcPr>
            <w:tcW w:w="20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386" w:type="dxa"/>
            <w:tcBorders>
              <w:bottom w:val="double" w:sz="10" w:space="0" w:color="000000"/>
            </w:tcBorders>
            <w:tcMar>
              <w:bottom w:w="28" w:type="dxa"/>
            </w:tcMar>
            <w:vAlign w:val="center"/>
          </w:tcPr>
          <w:p>
            <w:pPr>
              <w:pStyle w:val="TableContents"/>
              <w:bidi w:val="0"/>
              <w:spacing w:before="0" w:after="283"/>
              <w:jc w:val="left"/>
              <w:rPr/>
            </w:pPr>
            <w:r>
              <w:rPr/>
              <w:t>$</w:t>
            </w:r>
          </w:p>
        </w:tc>
        <w:tc>
          <w:tcPr>
            <w:tcW w:w="933" w:type="dxa"/>
            <w:tcBorders>
              <w:bottom w:val="double" w:sz="10" w:space="0" w:color="000000"/>
            </w:tcBorders>
            <w:tcMar>
              <w:bottom w:w="28" w:type="dxa"/>
            </w:tcMar>
            <w:vAlign w:val="center"/>
          </w:tcPr>
          <w:p>
            <w:pPr>
              <w:pStyle w:val="TableContents"/>
              <w:bidi w:val="0"/>
              <w:spacing w:before="0" w:after="283"/>
              <w:jc w:val="right"/>
              <w:rPr/>
            </w:pPr>
            <w:r>
              <w:rPr/>
              <w:t>684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7" w:type="dxa"/>
            <w:tcBorders>
              <w:bottom w:val="double" w:sz="10" w:space="0" w:color="000000"/>
            </w:tcBorders>
            <w:tcMar>
              <w:bottom w:w="28" w:type="dxa"/>
            </w:tcMar>
            <w:vAlign w:val="center"/>
          </w:tcPr>
          <w:p>
            <w:pPr>
              <w:pStyle w:val="TableContents"/>
              <w:bidi w:val="0"/>
              <w:spacing w:before="0" w:after="283"/>
              <w:jc w:val="left"/>
              <w:rPr/>
            </w:pPr>
            <w:r>
              <w:rPr/>
              <w:t>$</w:t>
            </w:r>
          </w:p>
        </w:tc>
        <w:tc>
          <w:tcPr>
            <w:tcW w:w="910" w:type="dxa"/>
            <w:tcBorders>
              <w:bottom w:val="double" w:sz="10" w:space="0" w:color="000000"/>
            </w:tcBorders>
            <w:tcMar>
              <w:bottom w:w="28" w:type="dxa"/>
            </w:tcMar>
            <w:vAlign w:val="center"/>
          </w:tcPr>
          <w:p>
            <w:pPr>
              <w:pStyle w:val="TableContents"/>
              <w:bidi w:val="0"/>
              <w:spacing w:before="0" w:after="283"/>
              <w:jc w:val="right"/>
              <w:rPr/>
            </w:pPr>
            <w:r>
              <w:rPr/>
              <w:t>608</w:t>
            </w:r>
          </w:p>
        </w:tc>
        <w:tc>
          <w:tcPr>
            <w:tcW w:w="1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377" w:type="dxa"/>
            <w:tcBorders>
              <w:bottom w:val="double" w:sz="10" w:space="0" w:color="000000"/>
            </w:tcBorders>
            <w:tcMar>
              <w:bottom w:w="28" w:type="dxa"/>
            </w:tcMar>
            <w:vAlign w:val="center"/>
          </w:tcPr>
          <w:p>
            <w:pPr>
              <w:pStyle w:val="TableContents"/>
              <w:bidi w:val="0"/>
              <w:spacing w:before="0" w:after="283"/>
              <w:jc w:val="left"/>
              <w:rPr/>
            </w:pPr>
            <w:r>
              <w:rPr/>
              <w:t>$</w:t>
            </w:r>
          </w:p>
        </w:tc>
        <w:tc>
          <w:tcPr>
            <w:tcW w:w="910" w:type="dxa"/>
            <w:tcBorders>
              <w:bottom w:val="double" w:sz="10" w:space="0" w:color="000000"/>
            </w:tcBorders>
            <w:tcMar>
              <w:bottom w:w="28" w:type="dxa"/>
            </w:tcMar>
            <w:vAlign w:val="center"/>
          </w:tcPr>
          <w:p>
            <w:pPr>
              <w:pStyle w:val="TableContents"/>
              <w:bidi w:val="0"/>
              <w:spacing w:before="0" w:after="283"/>
              <w:jc w:val="right"/>
              <w:rPr/>
            </w:pPr>
            <w:r>
              <w:rPr/>
              <w:t>823</w:t>
            </w:r>
          </w:p>
        </w:tc>
        <w:tc>
          <w:tcPr>
            <w:tcW w:w="335"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Directors Fees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May 1, 2023 to September 30, 2024, the Company’s independent directors received an annual fee of $150,000. In addition, the lead independent director received an annual retainer of $30,000; the chair of the Audit Committee received an annual retainer of $25,000, and each of its other members received an annual retainer of $12,500; and the chairs of the Nominating and Corporate Governance Committee and of the Compensation Committee each received an annual retainer of $15,000 and each of the other members of these committees received annual retainers of $8,000. The Company’s independent directors no longer receive fees for each board and committee meeting that they attend.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1, 2024, the structure was modified such that each of the Company’s independent directors receives an annual fee of $165,000. In addition, the lead independent director receives an annual retainer of $30,000; the chair of the Audit Committee receives an annual retainer of $19,000 and each of its other members receives an annual retainer of $12,500; the chair of the Nominating and Corporate Governance Committee receives an annual retainer of $12,000 and each of its other members receives an annual retainer of $11,000; and the chair of the Compensation Committee receives an annual retainer of $15,000 and each of its other members receives an annual retainer of $11,000.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board service compensation is paid to directors who are “interested persons” of the Company (as such term is defined in the 1940 Act). For the three and nine months ended June 30, 2026, the Company recognized $0.2 million and $0.5 million for directors’ fees expense, respectively. For the three and nine months ended June 30, 2025, the Company recognized $0.2 million and $0.6 million for directors’ fees expense,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Earnings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provisions of ASC Topic 260 - Earnings per Share, basic earnings per share is computed by dividing earnings available to common stockholders by the weighted average number of shares outstanding during the period. Other potentially dilutive common shares, and the related impact to earnings, are considered when calculating earnings per share on a diluted basis. The Company does not have any potentially dilutive common shares as of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sets forth the computation of the weighted average basic and diluted net increase/(decrease) in net assets per share from operations for the three and nine months ended June 30, 2026 and 2025 (amounts in thousands, except shares and per share amounts):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55"/>
        <w:gridCol w:w="90"/>
        <w:gridCol w:w="169"/>
        <w:gridCol w:w="961"/>
        <w:gridCol w:w="98"/>
        <w:gridCol w:w="98"/>
        <w:gridCol w:w="169"/>
        <w:gridCol w:w="961"/>
        <w:gridCol w:w="110"/>
        <w:gridCol w:w="90"/>
        <w:gridCol w:w="163"/>
        <w:gridCol w:w="924"/>
        <w:gridCol w:w="94"/>
        <w:gridCol w:w="94"/>
        <w:gridCol w:w="163"/>
        <w:gridCol w:w="924"/>
        <w:gridCol w:w="142"/>
      </w:tblGrid>
      <w:tr>
        <w:trPr/>
        <w:tc>
          <w:tcPr>
            <w:tcW w:w="4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Three Months Ended </w:t>
              <w:br/>
              <w:t>June 30,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Nine Months Ended </w:t>
              <w:br/>
              <w:t>June 30,</w:t>
            </w:r>
          </w:p>
        </w:tc>
        <w:tc>
          <w:tcPr>
            <w:tcW w:w="142"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42"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increase (decrease) in net assets resulting from operations</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4,224</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c>
          <w:tcPr>
            <w:tcW w:w="142"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shares of common stock outstanding - basic and diluted</w:t>
            </w:r>
          </w:p>
        </w:tc>
        <w:tc>
          <w:tcPr>
            <w:tcW w:w="9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1,932,597</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2,017,330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1,969,108</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2,018,962</w:t>
            </w:r>
          </w:p>
        </w:tc>
        <w:tc>
          <w:tcPr>
            <w:tcW w:w="142"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Earnings (loss) per share of common stock - basic and diluted</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(0.74</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w:t>
            </w:r>
          </w:p>
        </w:tc>
        <w:tc>
          <w:tcPr>
            <w:tcW w:w="142"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Financial Highlights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schedule of financial highlights for the nine months ended June 30, 2026 and 2025:</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66"/>
        <w:gridCol w:w="90"/>
        <w:gridCol w:w="155"/>
        <w:gridCol w:w="1085"/>
        <w:gridCol w:w="270"/>
        <w:gridCol w:w="90"/>
        <w:gridCol w:w="155"/>
        <w:gridCol w:w="1085"/>
        <w:gridCol w:w="309"/>
      </w:tblGrid>
      <w:tr>
        <w:trPr/>
        <w:tc>
          <w:tcPr>
            <w:tcW w:w="69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Nine Months Ended </w:t>
              <w:br/>
              <w:t>June 30,</w:t>
            </w:r>
          </w:p>
        </w:tc>
        <w:tc>
          <w:tcPr>
            <w:tcW w:w="309" w:type="dxa"/>
            <w:tcBorders/>
            <w:vAlign w:val="center"/>
          </w:tcPr>
          <w:p>
            <w:pPr>
              <w:pStyle w:val="TableContents"/>
              <w:bidi w:val="0"/>
              <w:spacing w:before="0" w:after="283"/>
              <w:jc w:val="left"/>
              <w:rPr/>
            </w:pPr>
            <w:r>
              <w:rPr/>
              <w:t> </w:t>
            </w:r>
          </w:p>
        </w:tc>
      </w:tr>
      <w:tr>
        <w:trPr/>
        <w:tc>
          <w:tcPr>
            <w:tcW w:w="69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309" w:type="dxa"/>
            <w:tcBorders/>
            <w:vAlign w:val="center"/>
          </w:tcPr>
          <w:p>
            <w:pPr>
              <w:pStyle w:val="TableContents"/>
              <w:bidi w:val="0"/>
              <w:spacing w:before="0" w:after="283"/>
              <w:jc w:val="left"/>
              <w:rPr/>
            </w:pPr>
            <w:r>
              <w:rPr/>
              <w:t> </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 share data</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 </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Asset Value per share at Beginning of Period</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80.24</w:t>
            </w:r>
          </w:p>
        </w:tc>
        <w:tc>
          <w:tcPr>
            <w:tcW w:w="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79.37</w:t>
            </w:r>
          </w:p>
        </w:tc>
        <w:tc>
          <w:tcPr>
            <w:tcW w:w="309" w:type="dxa"/>
            <w:tcBorders/>
            <w:shd w:fill="CCEEFF" w:val="clear"/>
            <w:vAlign w:val="center"/>
          </w:tcPr>
          <w:p>
            <w:pPr>
              <w:pStyle w:val="TableContents"/>
              <w:bidi w:val="0"/>
              <w:spacing w:before="0" w:after="283"/>
              <w:jc w:val="left"/>
              <w:rPr/>
            </w:pPr>
            <w:r>
              <w:rPr/>
              <w:t> </w:t>
            </w:r>
          </w:p>
        </w:tc>
      </w:tr>
      <w:tr>
        <w:trPr/>
        <w:tc>
          <w:tcPr>
            <w:tcW w:w="69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309" w:type="dxa"/>
            <w:tcBorders/>
            <w:vAlign w:val="center"/>
          </w:tcPr>
          <w:p>
            <w:pPr>
              <w:pStyle w:val="TableContents"/>
              <w:bidi w:val="0"/>
              <w:spacing w:before="0" w:after="283"/>
              <w:jc w:val="left"/>
              <w:rPr/>
            </w:pPr>
            <w:r>
              <w:rPr/>
              <w:t> </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Results of Operations: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309" w:type="dxa"/>
            <w:tcBorders/>
            <w:shd w:fill="CCEEFF" w:val="clear"/>
            <w:vAlign w:val="center"/>
          </w:tcPr>
          <w:p>
            <w:pPr>
              <w:pStyle w:val="TableContents"/>
              <w:bidi w:val="0"/>
              <w:spacing w:before="0" w:after="283"/>
              <w:jc w:val="left"/>
              <w:rPr/>
            </w:pPr>
            <w:r>
              <w:rPr/>
              <w:t> </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Investment Income/(Loss)</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w:t>
            </w:r>
          </w:p>
        </w:tc>
        <w:tc>
          <w:tcPr>
            <w:tcW w:w="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w:t>
            </w:r>
          </w:p>
        </w:tc>
        <w:tc>
          <w:tcPr>
            <w:tcW w:w="309" w:type="dxa"/>
            <w:tcBorders/>
            <w:vAlign w:val="center"/>
          </w:tcPr>
          <w:p>
            <w:pPr>
              <w:pStyle w:val="TableContents"/>
              <w:bidi w:val="0"/>
              <w:spacing w:before="0" w:after="283"/>
              <w:jc w:val="left"/>
              <w:rPr/>
            </w:pPr>
            <w:r>
              <w:rPr/>
              <w:t> </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Realized Gain/(Loss) on Investments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(5.89</w:t>
            </w:r>
          </w:p>
        </w:tc>
        <w:tc>
          <w:tcPr>
            <w:tcW w:w="3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Unrealized Gain/(Loss) on Investments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w:t>
            </w:r>
          </w:p>
        </w:tc>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w:t>
            </w:r>
          </w:p>
        </w:tc>
        <w:tc>
          <w:tcPr>
            <w:tcW w:w="309" w:type="dxa"/>
            <w:tcBorders/>
            <w:vAlign w:val="center"/>
          </w:tcPr>
          <w:p>
            <w:pPr>
              <w:pStyle w:val="TableContents"/>
              <w:bidi w:val="0"/>
              <w:spacing w:before="0" w:after="283"/>
              <w:jc w:val="left"/>
              <w:rPr/>
            </w:pPr>
            <w:r>
              <w:rPr/>
              <w:t> </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on extinguishment of debt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309" w:type="dxa"/>
            <w:tcBorders/>
            <w:shd w:fill="CCEEFF" w:val="clear"/>
            <w:vAlign w:val="center"/>
          </w:tcPr>
          <w:p>
            <w:pPr>
              <w:pStyle w:val="TableContents"/>
              <w:bidi w:val="0"/>
              <w:spacing w:before="0" w:after="283"/>
              <w:jc w:val="left"/>
              <w:rPr/>
            </w:pPr>
            <w:r>
              <w:rPr/>
              <w:t> </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 benefit (expense)</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(0.34</w:t>
            </w:r>
          </w:p>
        </w:tc>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(0.14</w:t>
            </w:r>
          </w:p>
        </w:tc>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Increase (Decrease) in Net Assets Resulting from Operations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w:t>
            </w:r>
          </w:p>
        </w:tc>
        <w:tc>
          <w:tcPr>
            <w:tcW w:w="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w:t>
            </w:r>
          </w:p>
        </w:tc>
        <w:tc>
          <w:tcPr>
            <w:tcW w:w="309" w:type="dxa"/>
            <w:tcBorders/>
            <w:shd w:fill="CCEEFF" w:val="clear"/>
            <w:vAlign w:val="center"/>
          </w:tcPr>
          <w:p>
            <w:pPr>
              <w:pStyle w:val="TableContents"/>
              <w:bidi w:val="0"/>
              <w:spacing w:before="0" w:after="283"/>
              <w:jc w:val="left"/>
              <w:rPr/>
            </w:pPr>
            <w:r>
              <w:rPr/>
              <w:t> </w:t>
            </w:r>
          </w:p>
        </w:tc>
      </w:tr>
      <w:tr>
        <w:trPr/>
        <w:tc>
          <w:tcPr>
            <w:tcW w:w="69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309" w:type="dxa"/>
            <w:tcBorders/>
            <w:vAlign w:val="center"/>
          </w:tcPr>
          <w:p>
            <w:pPr>
              <w:pStyle w:val="TableContents"/>
              <w:bidi w:val="0"/>
              <w:spacing w:before="0" w:after="283"/>
              <w:jc w:val="left"/>
              <w:rPr/>
            </w:pPr>
            <w:r>
              <w:rPr/>
              <w:t> </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Share Transactions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309" w:type="dxa"/>
            <w:tcBorders/>
            <w:shd w:fill="CCEEFF" w:val="clear"/>
            <w:vAlign w:val="center"/>
          </w:tcPr>
          <w:p>
            <w:pPr>
              <w:pStyle w:val="TableContents"/>
              <w:bidi w:val="0"/>
              <w:spacing w:before="0" w:after="283"/>
              <w:jc w:val="left"/>
              <w:rPr/>
            </w:pPr>
            <w:r>
              <w:rPr/>
              <w:t> </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Distributions declared</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(0.07</w:t>
            </w:r>
          </w:p>
        </w:tc>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w:t>
            </w:r>
          </w:p>
        </w:tc>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Repurchase of common stock under stock repurchase program</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w:t>
            </w:r>
          </w:p>
        </w:tc>
        <w:tc>
          <w:tcPr>
            <w:tcW w:w="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0.23</w:t>
            </w:r>
          </w:p>
        </w:tc>
        <w:tc>
          <w:tcPr>
            <w:tcW w:w="309" w:type="dxa"/>
            <w:tcBorders/>
            <w:shd w:fill="CCEEFF" w:val="clear"/>
            <w:vAlign w:val="center"/>
          </w:tcPr>
          <w:p>
            <w:pPr>
              <w:pStyle w:val="TableContents"/>
              <w:bidi w:val="0"/>
              <w:spacing w:before="0" w:after="283"/>
              <w:jc w:val="left"/>
              <w:rPr/>
            </w:pPr>
            <w:r>
              <w:rPr/>
              <w:t> </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Increase (Decrease) Resulting from Capital Share Transactions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w:t>
            </w:r>
          </w:p>
        </w:tc>
        <w:tc>
          <w:tcPr>
            <w:tcW w:w="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Asset Value per share at End of Period</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81.69</w:t>
            </w:r>
          </w:p>
        </w:tc>
        <w:tc>
          <w:tcPr>
            <w:tcW w:w="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78.20</w:t>
            </w:r>
          </w:p>
        </w:tc>
        <w:tc>
          <w:tcPr>
            <w:tcW w:w="309" w:type="dxa"/>
            <w:tcBorders/>
            <w:shd w:fill="CCEEFF" w:val="clear"/>
            <w:vAlign w:val="center"/>
          </w:tcPr>
          <w:p>
            <w:pPr>
              <w:pStyle w:val="TableContents"/>
              <w:bidi w:val="0"/>
              <w:spacing w:before="0" w:after="283"/>
              <w:jc w:val="left"/>
              <w:rPr/>
            </w:pPr>
            <w:r>
              <w:rPr/>
              <w:t> </w:t>
            </w:r>
          </w:p>
        </w:tc>
      </w:tr>
      <w:tr>
        <w:trPr/>
        <w:tc>
          <w:tcPr>
            <w:tcW w:w="69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309" w:type="dxa"/>
            <w:tcBorders/>
            <w:vAlign w:val="center"/>
          </w:tcPr>
          <w:p>
            <w:pPr>
              <w:pStyle w:val="TableContents"/>
              <w:bidi w:val="0"/>
              <w:spacing w:before="0" w:after="283"/>
              <w:jc w:val="left"/>
              <w:rPr/>
            </w:pPr>
            <w:r>
              <w:rPr/>
              <w:t> </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Assets at End of Period</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157,862,907</w:t>
            </w:r>
          </w:p>
        </w:tc>
        <w:tc>
          <w:tcPr>
            <w:tcW w:w="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156,694,119</w:t>
            </w:r>
          </w:p>
        </w:tc>
        <w:tc>
          <w:tcPr>
            <w:tcW w:w="309" w:type="dxa"/>
            <w:tcBorders/>
            <w:shd w:fill="CCEEFF" w:val="clear"/>
            <w:vAlign w:val="center"/>
          </w:tcPr>
          <w:p>
            <w:pPr>
              <w:pStyle w:val="TableContents"/>
              <w:bidi w:val="0"/>
              <w:spacing w:before="0" w:after="283"/>
              <w:jc w:val="left"/>
              <w:rPr/>
            </w:pPr>
            <w:r>
              <w:rPr/>
              <w:t> </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Outstanding at End of Period</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1,932,473</w:t>
            </w:r>
          </w:p>
        </w:tc>
        <w:tc>
          <w:tcPr>
            <w:tcW w:w="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2,003,869</w:t>
            </w:r>
          </w:p>
        </w:tc>
        <w:tc>
          <w:tcPr>
            <w:tcW w:w="309" w:type="dxa"/>
            <w:tcBorders/>
            <w:vAlign w:val="center"/>
          </w:tcPr>
          <w:p>
            <w:pPr>
              <w:pStyle w:val="TableContents"/>
              <w:bidi w:val="0"/>
              <w:spacing w:before="0" w:after="283"/>
              <w:jc w:val="left"/>
              <w:rPr/>
            </w:pPr>
            <w:r>
              <w:rPr/>
              <w:t> </w:t>
            </w:r>
          </w:p>
        </w:tc>
      </w:tr>
      <w:tr>
        <w:trPr/>
        <w:tc>
          <w:tcPr>
            <w:tcW w:w="696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309" w:type="dxa"/>
            <w:tcBorders/>
            <w:shd w:fill="CCEEFF" w:val="clear"/>
            <w:vAlign w:val="center"/>
          </w:tcPr>
          <w:p>
            <w:pPr>
              <w:pStyle w:val="TableContents"/>
              <w:bidi w:val="0"/>
              <w:spacing w:before="0" w:after="283"/>
              <w:ind w:left="0" w:right="0" w:hanging="180"/>
              <w:jc w:val="left"/>
              <w:rPr/>
            </w:pPr>
            <w:r>
              <w:rPr/>
              <w:t> </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 share market value at end of period</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42.55</w:t>
            </w:r>
          </w:p>
        </w:tc>
        <w:tc>
          <w:tcPr>
            <w:tcW w:w="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50.65</w:t>
            </w:r>
          </w:p>
        </w:tc>
        <w:tc>
          <w:tcPr>
            <w:tcW w:w="309" w:type="dxa"/>
            <w:tcBorders/>
            <w:vAlign w:val="center"/>
          </w:tcPr>
          <w:p>
            <w:pPr>
              <w:pStyle w:val="TableContents"/>
              <w:bidi w:val="0"/>
              <w:spacing w:before="0" w:after="283"/>
              <w:ind w:left="0" w:right="0" w:hanging="180"/>
              <w:jc w:val="left"/>
              <w:rPr/>
            </w:pPr>
            <w:r>
              <w:rPr/>
              <w:t> </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return based on market value</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(10.51</w:t>
            </w:r>
          </w:p>
        </w:tc>
        <w:tc>
          <w:tcPr>
            <w:tcW w:w="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9.41</w:t>
            </w:r>
          </w:p>
        </w:tc>
        <w:tc>
          <w:tcPr>
            <w:tcW w:w="30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return based on net asset value</w:t>
            </w:r>
            <w:r>
              <w:rPr>
                <w:rFonts w:ascii="Times New Roman;Times;Serif" w:hAnsi="Times New Roman;Times;Serif"/>
                <w:position w:val="7"/>
                <w:sz w:val="16"/>
                <w:sz w:val="20"/>
              </w:rPr>
              <w:t>(4)</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w:t>
            </w:r>
          </w:p>
        </w:tc>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(0.45</w:t>
            </w:r>
          </w:p>
        </w:tc>
        <w:tc>
          <w:tcPr>
            <w:tcW w:w="309"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Portfolio turnover rate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16.02</w:t>
            </w:r>
          </w:p>
        </w:tc>
        <w:tc>
          <w:tcPr>
            <w:tcW w:w="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33.80</w:t>
            </w:r>
          </w:p>
        </w:tc>
        <w:tc>
          <w:tcPr>
            <w:tcW w:w="30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Ratios:</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ind w:left="0" w:right="0" w:hanging="180"/>
              <w:jc w:val="left"/>
              <w:rPr/>
            </w:pPr>
            <w:r>
              <w:rPr/>
              <w:t> </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Ratio of net investment/(loss) income to average net assets</w:t>
            </w:r>
            <w:r>
              <w:rPr>
                <w:rFonts w:ascii="Times New Roman;Times;Serif" w:hAnsi="Times New Roman;Times;Serif"/>
                <w:position w:val="7"/>
                <w:sz w:val="16"/>
                <w:sz w:val="20"/>
              </w:rPr>
              <w:t>(5)</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4.21</w:t>
            </w:r>
          </w:p>
        </w:tc>
        <w:tc>
          <w:tcPr>
            <w:tcW w:w="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w:t>
            </w:r>
          </w:p>
        </w:tc>
        <w:tc>
          <w:tcPr>
            <w:tcW w:w="30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Ratio of total expenses to average net assets</w:t>
            </w:r>
            <w:r>
              <w:rPr>
                <w:rFonts w:ascii="Times New Roman;Times;Serif" w:hAnsi="Times New Roman;Times;Serif"/>
                <w:position w:val="7"/>
                <w:sz w:val="16"/>
                <w:sz w:val="20"/>
              </w:rPr>
              <w:t>(5)</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11.37</w:t>
            </w:r>
          </w:p>
        </w:tc>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12.26</w:t>
            </w:r>
          </w:p>
        </w:tc>
        <w:tc>
          <w:tcPr>
            <w:tcW w:w="309"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96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309" w:type="dxa"/>
            <w:tcBorders/>
            <w:shd w:fill="CCEEFF" w:val="clear"/>
            <w:vAlign w:val="center"/>
          </w:tcPr>
          <w:p>
            <w:pPr>
              <w:pStyle w:val="TableContents"/>
              <w:bidi w:val="0"/>
              <w:spacing w:before="0" w:after="283"/>
              <w:ind w:left="0" w:right="0" w:hanging="180"/>
              <w:jc w:val="left"/>
              <w:rPr/>
            </w:pPr>
            <w:r>
              <w:rPr/>
              <w:t> </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Data:</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309" w:type="dxa"/>
            <w:tcBorders/>
            <w:vAlign w:val="center"/>
          </w:tcPr>
          <w:p>
            <w:pPr>
              <w:pStyle w:val="TableContents"/>
              <w:bidi w:val="0"/>
              <w:spacing w:before="0" w:after="283"/>
              <w:ind w:left="0" w:right="0" w:hanging="180"/>
              <w:jc w:val="left"/>
              <w:rPr/>
            </w:pPr>
            <w:r>
              <w:rPr/>
              <w:t> </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Ratio of net operating expenses and credit facility related expenses to average net assets</w:t>
            </w:r>
            <w:r>
              <w:rPr>
                <w:rFonts w:ascii="Times New Roman;Times;Serif" w:hAnsi="Times New Roman;Times;Serif"/>
                <w:position w:val="7"/>
                <w:sz w:val="16"/>
                <w:sz w:val="20"/>
              </w:rPr>
              <w:t>(5)</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w:t>
            </w:r>
          </w:p>
        </w:tc>
        <w:tc>
          <w:tcPr>
            <w:tcW w:w="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7.81</w:t>
            </w:r>
          </w:p>
        </w:tc>
        <w:tc>
          <w:tcPr>
            <w:tcW w:w="30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Percentage of non-recurring fee income</w:t>
            </w:r>
            <w:r>
              <w:rPr>
                <w:rFonts w:ascii="Times New Roman;Times;Serif" w:hAnsi="Times New Roman;Times;Serif"/>
                <w:position w:val="7"/>
                <w:sz w:val="16"/>
                <w:sz w:val="20"/>
              </w:rPr>
              <w:t>(6)</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w:t>
            </w:r>
          </w:p>
        </w:tc>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w:t>
            </w:r>
          </w:p>
        </w:tc>
        <w:tc>
          <w:tcPr>
            <w:tcW w:w="309"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Average debt outstanding</w:t>
            </w:r>
            <w:r>
              <w:rPr>
                <w:rFonts w:ascii="Times New Roman;Times;Serif" w:hAnsi="Times New Roman;Times;Serif"/>
                <w:position w:val="7"/>
                <w:sz w:val="16"/>
                <w:sz w:val="20"/>
              </w:rPr>
              <w:t>(7)</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147,905,472</w:t>
            </w:r>
          </w:p>
        </w:tc>
        <w:tc>
          <w:tcPr>
            <w:tcW w:w="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143,376,643</w:t>
            </w:r>
          </w:p>
        </w:tc>
        <w:tc>
          <w:tcPr>
            <w:tcW w:w="309" w:type="dxa"/>
            <w:tcBorders/>
            <w:shd w:fill="CCEEFF" w:val="clear"/>
            <w:vAlign w:val="center"/>
          </w:tcPr>
          <w:p>
            <w:pPr>
              <w:pStyle w:val="TableContents"/>
              <w:bidi w:val="0"/>
              <w:spacing w:before="0" w:after="283"/>
              <w:ind w:left="0" w:right="0" w:hanging="180"/>
              <w:jc w:val="left"/>
              <w:rPr/>
            </w:pPr>
            <w:r>
              <w:rPr/>
              <w:t> </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Average debt outstanding per weighted average common share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75.11</w:t>
            </w:r>
          </w:p>
        </w:tc>
        <w:tc>
          <w:tcPr>
            <w:tcW w:w="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71.02</w:t>
            </w:r>
          </w:p>
        </w:tc>
        <w:tc>
          <w:tcPr>
            <w:tcW w:w="309" w:type="dxa"/>
            <w:tcBorders/>
            <w:vAlign w:val="center"/>
          </w:tcPr>
          <w:p>
            <w:pPr>
              <w:pStyle w:val="TableContents"/>
              <w:bidi w:val="0"/>
              <w:spacing w:before="0" w:after="283"/>
              <w:ind w:left="0" w:right="0" w:hanging="180"/>
              <w:jc w:val="left"/>
              <w:rPr/>
            </w:pPr>
            <w:r>
              <w:rPr/>
              <w:t> </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 coverage ratio per unit</w:t>
            </w:r>
            <w:r>
              <w:rPr>
                <w:rFonts w:ascii="Times New Roman;Times;Serif" w:hAnsi="Times New Roman;Times;Serif"/>
                <w:position w:val="7"/>
                <w:sz w:val="16"/>
                <w:sz w:val="20"/>
              </w:rPr>
              <w:t>(8)</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2,070</w:t>
            </w:r>
          </w:p>
        </w:tc>
        <w:tc>
          <w:tcPr>
            <w:tcW w:w="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2,072</w:t>
            </w:r>
          </w:p>
        </w:tc>
        <w:tc>
          <w:tcPr>
            <w:tcW w:w="309" w:type="dxa"/>
            <w:tcBorders/>
            <w:shd w:fill="CCEEFF" w:val="clear"/>
            <w:vAlign w:val="center"/>
          </w:tcPr>
          <w:p>
            <w:pPr>
              <w:pStyle w:val="TableContents"/>
              <w:bidi w:val="0"/>
              <w:spacing w:before="0" w:after="283"/>
              <w:ind w:left="0" w:right="0" w:hanging="180"/>
              <w:jc w:val="left"/>
              <w:rPr/>
            </w:pPr>
            <w:r>
              <w:rPr/>
              <w:t> </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Securities Outstanding</w:t>
            </w:r>
            <w:r>
              <w:rPr>
                <w:rFonts w:ascii="Times New Roman;Times;Serif" w:hAnsi="Times New Roman;Times;Serif"/>
                <w:position w:val="7"/>
                <w:sz w:val="16"/>
                <w:sz w:val="20"/>
              </w:rPr>
              <w:t>(9)</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309" w:type="dxa"/>
            <w:tcBorders/>
            <w:vAlign w:val="center"/>
          </w:tcPr>
          <w:p>
            <w:pPr>
              <w:pStyle w:val="TableContents"/>
              <w:bidi w:val="0"/>
              <w:spacing w:before="0" w:after="283"/>
              <w:ind w:left="0" w:right="0" w:hanging="180"/>
              <w:jc w:val="left"/>
              <w:rPr/>
            </w:pPr>
            <w:r>
              <w:rPr/>
              <w:t> </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2023 Notes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pPr>
            <w:r>
              <w:rPr/>
              <w:t>-</w:t>
            </w:r>
          </w:p>
        </w:tc>
        <w:tc>
          <w:tcPr>
            <w:tcW w:w="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pPr>
            <w:r>
              <w:rPr/>
              <w:t>-</w:t>
            </w:r>
          </w:p>
        </w:tc>
        <w:tc>
          <w:tcPr>
            <w:tcW w:w="309" w:type="dxa"/>
            <w:tcBorders/>
            <w:shd w:fill="CCEEFF" w:val="clear"/>
            <w:vAlign w:val="center"/>
          </w:tcPr>
          <w:p>
            <w:pPr>
              <w:pStyle w:val="TableContents"/>
              <w:bidi w:val="0"/>
              <w:spacing w:before="0" w:after="283"/>
              <w:ind w:left="0" w:right="0" w:hanging="180"/>
              <w:jc w:val="left"/>
              <w:rPr/>
            </w:pPr>
            <w:r>
              <w:rPr/>
              <w:t> </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 Notes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57,500,000</w:t>
            </w:r>
          </w:p>
        </w:tc>
        <w:tc>
          <w:tcPr>
            <w:tcW w:w="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57,500,000</w:t>
            </w:r>
          </w:p>
        </w:tc>
        <w:tc>
          <w:tcPr>
            <w:tcW w:w="309" w:type="dxa"/>
            <w:tcBorders/>
            <w:vAlign w:val="center"/>
          </w:tcPr>
          <w:p>
            <w:pPr>
              <w:pStyle w:val="TableContents"/>
              <w:bidi w:val="0"/>
              <w:spacing w:before="0" w:after="283"/>
              <w:ind w:left="0" w:right="0" w:hanging="180"/>
              <w:jc w:val="left"/>
              <w:rPr/>
            </w:pPr>
            <w:r>
              <w:rPr/>
              <w:t> </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 Promissory Note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pPr>
            <w:r>
              <w:rPr/>
              <w:t>-</w:t>
            </w:r>
          </w:p>
        </w:tc>
        <w:tc>
          <w:tcPr>
            <w:tcW w:w="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1,661,498</w:t>
            </w:r>
          </w:p>
        </w:tc>
        <w:tc>
          <w:tcPr>
            <w:tcW w:w="309" w:type="dxa"/>
            <w:tcBorders/>
            <w:shd w:fill="CCEEFF" w:val="clear"/>
            <w:vAlign w:val="center"/>
          </w:tcPr>
          <w:p>
            <w:pPr>
              <w:pStyle w:val="TableContents"/>
              <w:bidi w:val="0"/>
              <w:spacing w:before="0" w:after="283"/>
              <w:ind w:left="0" w:right="0" w:hanging="180"/>
              <w:jc w:val="left"/>
              <w:rPr/>
            </w:pPr>
            <w:r>
              <w:rPr/>
              <w:t> </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Facility</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89,991,619</w:t>
            </w:r>
          </w:p>
        </w:tc>
        <w:tc>
          <w:tcPr>
            <w:tcW w:w="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86,991,619</w:t>
            </w:r>
          </w:p>
        </w:tc>
        <w:tc>
          <w:tcPr>
            <w:tcW w:w="309" w:type="dxa"/>
            <w:tcBorders/>
            <w:vAlign w:val="center"/>
          </w:tcPr>
          <w:p>
            <w:pPr>
              <w:pStyle w:val="TableContents"/>
              <w:bidi w:val="0"/>
              <w:spacing w:before="0" w:after="283"/>
              <w:ind w:left="0" w:right="0" w:hanging="180"/>
              <w:jc w:val="left"/>
              <w:rPr/>
            </w:pPr>
            <w:r>
              <w:rPr/>
              <w:t> </w:t>
            </w:r>
          </w:p>
        </w:tc>
      </w:tr>
      <w:tr>
        <w:trPr/>
        <w:tc>
          <w:tcPr>
            <w:tcW w:w="69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Average market value per unit: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309" w:type="dxa"/>
            <w:tcBorders/>
            <w:shd w:fill="CCEEFF" w:val="clear"/>
            <w:vAlign w:val="center"/>
          </w:tcPr>
          <w:p>
            <w:pPr>
              <w:pStyle w:val="TableContents"/>
              <w:bidi w:val="0"/>
              <w:spacing w:before="0" w:after="283"/>
              <w:ind w:left="0" w:right="0" w:hanging="180"/>
              <w:jc w:val="left"/>
              <w:rPr/>
            </w:pPr>
            <w:r>
              <w:rPr/>
              <w:t> </w:t>
            </w:r>
          </w:p>
        </w:tc>
      </w:tr>
      <w:tr>
        <w:trPr/>
        <w:tc>
          <w:tcPr>
            <w:tcW w:w="6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 Notes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22.91</w:t>
            </w:r>
          </w:p>
        </w:tc>
        <w:tc>
          <w:tcPr>
            <w:tcW w:w="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22.62</w:t>
            </w:r>
          </w:p>
        </w:tc>
        <w:tc>
          <w:tcPr>
            <w:tcW w:w="309"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sz w:val="20"/>
              </w:rPr>
            </w:pPr>
            <w:r>
              <w:rPr>
                <w:sz w:val="20"/>
              </w:rPr>
              <w:t>(1)</w:t>
            </w:r>
          </w:p>
        </w:tc>
        <w:tc>
          <w:tcPr>
            <w:tcW w:w="9953" w:type="dxa"/>
            <w:tcBorders/>
            <w:vAlign w:val="center"/>
          </w:tcPr>
          <w:p>
            <w:pPr>
              <w:pStyle w:val="TableContents"/>
              <w:bidi w:val="0"/>
              <w:spacing w:before="0" w:after="283"/>
              <w:jc w:val="both"/>
              <w:rPr>
                <w:sz w:val="20"/>
              </w:rPr>
            </w:pPr>
            <w:r>
              <w:rPr>
                <w:sz w:val="20"/>
              </w:rPr>
              <w:t>Net investment income/(loss) based on total weighted average common stock outstanding equals $2.51 and $1.86 per share for the nine months ended June 30, 2026 and 2025, respectively.</w:t>
            </w:r>
          </w:p>
        </w:tc>
      </w:tr>
      <w:tr>
        <w:trPr/>
        <w:tc>
          <w:tcPr>
            <w:tcW w:w="252" w:type="dxa"/>
            <w:tcBorders/>
            <w:vAlign w:val="center"/>
          </w:tcPr>
          <w:p>
            <w:pPr>
              <w:pStyle w:val="TableContents"/>
              <w:bidi w:val="0"/>
              <w:spacing w:before="0" w:after="283"/>
              <w:jc w:val="left"/>
              <w:rPr>
                <w:sz w:val="20"/>
              </w:rPr>
            </w:pPr>
            <w:r>
              <w:rPr>
                <w:sz w:val="20"/>
              </w:rPr>
              <w:t>(2)</w:t>
            </w:r>
          </w:p>
        </w:tc>
        <w:tc>
          <w:tcPr>
            <w:tcW w:w="9953" w:type="dxa"/>
            <w:tcBorders/>
            <w:vAlign w:val="center"/>
          </w:tcPr>
          <w:p>
            <w:pPr>
              <w:pStyle w:val="TableContents"/>
              <w:bidi w:val="0"/>
              <w:spacing w:before="0" w:after="283"/>
              <w:jc w:val="both"/>
              <w:rPr>
                <w:sz w:val="20"/>
              </w:rPr>
            </w:pPr>
            <w:r>
              <w:rPr>
                <w:sz w:val="20"/>
              </w:rPr>
              <w:t>The amount shown at this caption is the balancing amount derived from the other figures in the schedule. The amount shown at this caption for a share outstanding throughout the period may not agree with the repurchase of common stock because of the timing of repurchase of the Company’s shares.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12. Financial Highlights</w:t>
      </w:r>
      <w:r>
        <w:rPr>
          <w:rFonts w:ascii="Times New Roman;Times;Serif" w:hAnsi="Times New Roman;Times;Serif"/>
          <w:b w:val="false"/>
          <w:i w:val="false"/>
          <w:caps w:val="false"/>
          <w:smallCaps w:val="false"/>
          <w:sz w:val="20"/>
        </w:rPr>
        <w:t xml:space="preserve"> (continued)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sz w:val="20"/>
              </w:rPr>
            </w:pPr>
            <w:r>
              <w:rPr>
                <w:sz w:val="20"/>
              </w:rPr>
              <w:t>(3)</w:t>
            </w:r>
          </w:p>
        </w:tc>
        <w:tc>
          <w:tcPr>
            <w:tcW w:w="9964" w:type="dxa"/>
            <w:tcBorders/>
            <w:vAlign w:val="center"/>
          </w:tcPr>
          <w:p>
            <w:pPr>
              <w:pStyle w:val="TableContents"/>
              <w:bidi w:val="0"/>
              <w:spacing w:before="0" w:after="283"/>
              <w:jc w:val="both"/>
              <w:rPr>
                <w:sz w:val="20"/>
              </w:rPr>
            </w:pPr>
            <w:r>
              <w:rPr>
                <w:sz w:val="20"/>
              </w:rPr>
              <w:t>Total return is historical and assumes changes in share price, reinvestments of all dividends and distributions at prices obtained under the Company’s dividend reinvestment plan, and no sales charge for the period. Calculation is not annualized.</w:t>
            </w:r>
          </w:p>
        </w:tc>
      </w:tr>
      <w:tr>
        <w:trPr/>
        <w:tc>
          <w:tcPr>
            <w:tcW w:w="241" w:type="dxa"/>
            <w:tcBorders/>
            <w:vAlign w:val="center"/>
          </w:tcPr>
          <w:p>
            <w:pPr>
              <w:pStyle w:val="TableContents"/>
              <w:bidi w:val="0"/>
              <w:spacing w:before="0" w:after="283"/>
              <w:jc w:val="left"/>
              <w:rPr>
                <w:sz w:val="20"/>
              </w:rPr>
            </w:pPr>
            <w:r>
              <w:rPr>
                <w:sz w:val="20"/>
              </w:rPr>
              <w:t>(4)</w:t>
            </w:r>
          </w:p>
        </w:tc>
        <w:tc>
          <w:tcPr>
            <w:tcW w:w="9964" w:type="dxa"/>
            <w:tcBorders/>
            <w:vAlign w:val="center"/>
          </w:tcPr>
          <w:p>
            <w:pPr>
              <w:pStyle w:val="TableContents"/>
              <w:bidi w:val="0"/>
              <w:spacing w:before="0" w:after="283"/>
              <w:jc w:val="both"/>
              <w:rPr>
                <w:sz w:val="20"/>
              </w:rPr>
            </w:pPr>
            <w:r>
              <w:rPr>
                <w:sz w:val="20"/>
              </w:rPr>
              <w:t>Total return is historical and assumes changes in NAV, reinvestments of all dividends at prices obtained under the Company’s dividend reinvestment plan, and no sales charges for the period. Calculation is not annualized.</w:t>
            </w:r>
          </w:p>
        </w:tc>
      </w:tr>
      <w:tr>
        <w:trPr/>
        <w:tc>
          <w:tcPr>
            <w:tcW w:w="241" w:type="dxa"/>
            <w:tcBorders/>
            <w:vAlign w:val="center"/>
          </w:tcPr>
          <w:p>
            <w:pPr>
              <w:pStyle w:val="TableContents"/>
              <w:bidi w:val="0"/>
              <w:spacing w:before="0" w:after="283"/>
              <w:jc w:val="left"/>
              <w:rPr>
                <w:sz w:val="20"/>
              </w:rPr>
            </w:pPr>
            <w:r>
              <w:rPr>
                <w:sz w:val="20"/>
              </w:rPr>
              <w:t>(5)</w:t>
            </w:r>
          </w:p>
        </w:tc>
        <w:tc>
          <w:tcPr>
            <w:tcW w:w="9964" w:type="dxa"/>
            <w:tcBorders/>
            <w:vAlign w:val="center"/>
          </w:tcPr>
          <w:p>
            <w:pPr>
              <w:pStyle w:val="TableContents"/>
              <w:bidi w:val="0"/>
              <w:spacing w:before="0" w:after="283"/>
              <w:jc w:val="both"/>
              <w:rPr>
                <w:sz w:val="20"/>
              </w:rPr>
            </w:pPr>
            <w:r>
              <w:rPr>
                <w:sz w:val="20"/>
              </w:rPr>
              <w:t>Ratios are annualized during interim periods.</w:t>
            </w:r>
          </w:p>
        </w:tc>
      </w:tr>
      <w:tr>
        <w:trPr/>
        <w:tc>
          <w:tcPr>
            <w:tcW w:w="241" w:type="dxa"/>
            <w:tcBorders/>
            <w:vAlign w:val="center"/>
          </w:tcPr>
          <w:p>
            <w:pPr>
              <w:pStyle w:val="TableContents"/>
              <w:bidi w:val="0"/>
              <w:spacing w:before="0" w:after="283"/>
              <w:jc w:val="left"/>
              <w:rPr>
                <w:sz w:val="20"/>
              </w:rPr>
            </w:pPr>
            <w:r>
              <w:rPr>
                <w:sz w:val="20"/>
              </w:rPr>
              <w:t>(6)</w:t>
            </w:r>
          </w:p>
        </w:tc>
        <w:tc>
          <w:tcPr>
            <w:tcW w:w="9964" w:type="dxa"/>
            <w:tcBorders/>
            <w:vAlign w:val="center"/>
          </w:tcPr>
          <w:p>
            <w:pPr>
              <w:pStyle w:val="TableContents"/>
              <w:bidi w:val="0"/>
              <w:spacing w:before="0" w:after="283"/>
              <w:jc w:val="both"/>
              <w:rPr>
                <w:sz w:val="20"/>
              </w:rPr>
            </w:pPr>
            <w:r>
              <w:rPr>
                <w:sz w:val="20"/>
              </w:rPr>
              <w:t>Represents the impact of the non-recurring fees as a percentage of total investment income.</w:t>
            </w:r>
          </w:p>
        </w:tc>
      </w:tr>
      <w:tr>
        <w:trPr/>
        <w:tc>
          <w:tcPr>
            <w:tcW w:w="241" w:type="dxa"/>
            <w:tcBorders/>
            <w:vAlign w:val="center"/>
          </w:tcPr>
          <w:p>
            <w:pPr>
              <w:pStyle w:val="TableContents"/>
              <w:bidi w:val="0"/>
              <w:spacing w:before="0" w:after="283"/>
              <w:jc w:val="left"/>
              <w:rPr>
                <w:sz w:val="20"/>
              </w:rPr>
            </w:pPr>
            <w:r>
              <w:rPr>
                <w:sz w:val="20"/>
              </w:rPr>
              <w:t>(7)</w:t>
            </w:r>
          </w:p>
        </w:tc>
        <w:tc>
          <w:tcPr>
            <w:tcW w:w="9964" w:type="dxa"/>
            <w:tcBorders/>
            <w:vAlign w:val="center"/>
          </w:tcPr>
          <w:p>
            <w:pPr>
              <w:pStyle w:val="TableContents"/>
              <w:bidi w:val="0"/>
              <w:spacing w:before="0" w:after="283"/>
              <w:jc w:val="both"/>
              <w:rPr>
                <w:sz w:val="20"/>
              </w:rPr>
            </w:pPr>
            <w:r>
              <w:rPr>
                <w:sz w:val="20"/>
              </w:rPr>
              <w:t xml:space="preserve">Based on daily weighted average carrying value of debt outstanding during the period. </w:t>
            </w:r>
          </w:p>
        </w:tc>
      </w:tr>
      <w:tr>
        <w:trPr/>
        <w:tc>
          <w:tcPr>
            <w:tcW w:w="241" w:type="dxa"/>
            <w:tcBorders/>
            <w:vAlign w:val="center"/>
          </w:tcPr>
          <w:p>
            <w:pPr>
              <w:pStyle w:val="TableContents"/>
              <w:bidi w:val="0"/>
              <w:spacing w:before="0" w:after="283"/>
              <w:jc w:val="left"/>
              <w:rPr>
                <w:sz w:val="20"/>
              </w:rPr>
            </w:pPr>
            <w:r>
              <w:rPr>
                <w:sz w:val="20"/>
              </w:rPr>
              <w:t>(8)</w:t>
            </w:r>
          </w:p>
        </w:tc>
        <w:tc>
          <w:tcPr>
            <w:tcW w:w="996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 As of June 30, 2026, the Company’s asset coverage was 207.0% after giving effect to leverage and therefore the Company’s asset coverage was above 200%, the minimum asset coverage requirement under the 1940 Act presently applicable to the Company.</w:t>
            </w:r>
          </w:p>
        </w:tc>
      </w:tr>
      <w:tr>
        <w:trPr/>
        <w:tc>
          <w:tcPr>
            <w:tcW w:w="241" w:type="dxa"/>
            <w:tcBorders/>
            <w:vAlign w:val="center"/>
          </w:tcPr>
          <w:p>
            <w:pPr>
              <w:pStyle w:val="TableContents"/>
              <w:bidi w:val="0"/>
              <w:spacing w:before="0" w:after="283"/>
              <w:jc w:val="left"/>
              <w:rPr>
                <w:sz w:val="20"/>
              </w:rPr>
            </w:pPr>
            <w:r>
              <w:rPr>
                <w:sz w:val="20"/>
              </w:rPr>
              <w:t>(9)</w:t>
            </w:r>
          </w:p>
        </w:tc>
        <w:tc>
          <w:tcPr>
            <w:tcW w:w="9964" w:type="dxa"/>
            <w:tcBorders/>
            <w:vAlign w:val="center"/>
          </w:tcPr>
          <w:p>
            <w:pPr>
              <w:pStyle w:val="TableContents"/>
              <w:bidi w:val="0"/>
              <w:spacing w:before="0" w:after="283"/>
              <w:jc w:val="both"/>
              <w:rPr>
                <w:sz w:val="20"/>
              </w:rPr>
            </w:pPr>
            <w:r>
              <w:rPr>
                <w:sz w:val="20"/>
              </w:rPr>
              <w:t>Total amount of each class of senior securities outstanding at the end of the period excluding debt issuance costs.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Dividends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dividends and distributions to common stockholders are recorded on the ex-dividend date. Any amounts to be paid out as a dividend are determined by our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“opt out” dividend reinvestment plan for our common stockholders. As a result, if we declare a cash dividend or other distribution, each stockholder that has not “opted out” of our dividend reinvestment plan will have its dividends automatically reinvested in additional shares of our common stock rather than receiving cash dividends. Stockholders who receive distributions in the form of shares of common stock will be subject to the same federal, state and local tax consequences as if they received cash distributions.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the Board of Directors declared a special dividend of $0.07 per share. This dividend was paid on May 28, 2026 to stockholders of record as of May 18, 2026. The dividends declared during the nine months ended June 30, 2026 were derived from net investment income, determined on a tax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2025, the Board of Directors declared a special dividend of $1.43 per share. This dividend was paid on February 19, 2025 to stockholders of record as of February 17, 2025. The dividends declared during the nine months ended June 30, 2025 were derived from net investment income, determined on a tax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Share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2023, the Board of Directors approved the expansion of the amount authorized for repurchase under the Company’s share repurchase program from $25 million to $35 million. Since announcing this share repurchase program on January 11, 2021, the Company has repurchased an aggregate of 791,236 shares of common stock through June 30, 2026 with a total cost of approximately $32.3 million, or 29.0% of shares outstanding as of the program’s inception. The total remaining amount authorized under the expanded share repurchase program is approximately $2.7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14. Share Transactions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shares of common stock repurchased by the Company at an average price of $40.78 per share under its share repurchase program from February 10, 2021 through June 30, 2026: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19"/>
        <w:gridCol w:w="90"/>
        <w:gridCol w:w="182"/>
        <w:gridCol w:w="1701"/>
        <w:gridCol w:w="90"/>
        <w:gridCol w:w="90"/>
        <w:gridCol w:w="130"/>
        <w:gridCol w:w="2348"/>
        <w:gridCol w:w="90"/>
        <w:gridCol w:w="90"/>
        <w:gridCol w:w="499"/>
        <w:gridCol w:w="3337"/>
        <w:gridCol w:w="139"/>
      </w:tblGrid>
      <w:tr>
        <w:trPr/>
        <w:tc>
          <w:tcPr>
            <w:tcW w:w="1419" w:type="dxa"/>
            <w:tcBorders>
              <w:bottom w:val="single" w:sz="12" w:space="0" w:color="000000"/>
            </w:tcBorders>
            <w:vAlign w:val="center"/>
          </w:tcPr>
          <w:p>
            <w:pPr>
              <w:pStyle w:val="TableContents"/>
              <w:bidi w:val="0"/>
              <w:spacing w:before="0" w:after="283"/>
              <w:jc w:val="left"/>
              <w:rPr>
                <w:b/>
              </w:rPr>
            </w:pPr>
            <w:r>
              <w:rPr>
                <w:b/>
              </w:rPr>
              <w:t>Month Ended</w:t>
            </w:r>
          </w:p>
        </w:tc>
        <w:tc>
          <w:tcPr>
            <w:tcW w:w="90" w:type="dxa"/>
            <w:tcBorders/>
            <w:tcMar>
              <w:bottom w:w="0" w:type="dxa"/>
            </w:tcMar>
            <w:vAlign w:val="center"/>
          </w:tcPr>
          <w:p>
            <w:pPr>
              <w:pStyle w:val="TableContents"/>
              <w:bidi w:val="0"/>
              <w:spacing w:before="0" w:after="283"/>
              <w:jc w:val="left"/>
              <w:rPr/>
            </w:pPr>
            <w:r>
              <w:rPr/>
              <w:t> </w:t>
            </w:r>
          </w:p>
        </w:tc>
        <w:tc>
          <w:tcPr>
            <w:tcW w:w="1883" w:type="dxa"/>
            <w:gridSpan w:val="2"/>
            <w:tcBorders>
              <w:bottom w:val="single" w:sz="12" w:space="0" w:color="000000"/>
            </w:tcBorders>
            <w:vAlign w:val="center"/>
          </w:tcPr>
          <w:p>
            <w:pPr>
              <w:pStyle w:val="TableContents"/>
              <w:bidi w:val="0"/>
              <w:spacing w:before="0" w:after="283"/>
              <w:jc w:val="center"/>
              <w:rPr>
                <w:b/>
              </w:rPr>
            </w:pPr>
            <w:r>
              <w:rPr>
                <w:b/>
              </w:rPr>
              <w:t>Shares Repurchased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78" w:type="dxa"/>
            <w:gridSpan w:val="2"/>
            <w:tcBorders>
              <w:bottom w:val="single" w:sz="12" w:space="0" w:color="000000"/>
            </w:tcBorders>
            <w:vAlign w:val="center"/>
          </w:tcPr>
          <w:p>
            <w:pPr>
              <w:pStyle w:val="TableContents"/>
              <w:bidi w:val="0"/>
              <w:spacing w:before="0" w:after="283"/>
              <w:jc w:val="center"/>
              <w:rPr>
                <w:b/>
              </w:rPr>
            </w:pPr>
            <w:r>
              <w:rPr>
                <w:b/>
              </w:rPr>
              <w:t>Repurchase Price Per Share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836" w:type="dxa"/>
            <w:gridSpan w:val="2"/>
            <w:tcBorders>
              <w:bottom w:val="single" w:sz="12" w:space="0" w:color="000000"/>
            </w:tcBorders>
            <w:vAlign w:val="center"/>
          </w:tcPr>
          <w:p>
            <w:pPr>
              <w:pStyle w:val="TableContents"/>
              <w:bidi w:val="0"/>
              <w:spacing w:before="0" w:after="283"/>
              <w:jc w:val="center"/>
              <w:rPr>
                <w:b/>
              </w:rPr>
            </w:pPr>
            <w:r>
              <w:rPr>
                <w:b/>
              </w:rPr>
              <w:t>Aggregate Consideration for Repurchased Shares</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February 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13,082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pPr>
            <w:r>
              <w:rPr/>
              <w:t xml:space="preserve">$30.25 - $30.96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w:t>
            </w:r>
          </w:p>
        </w:tc>
        <w:tc>
          <w:tcPr>
            <w:tcW w:w="3337" w:type="dxa"/>
            <w:tcBorders/>
            <w:shd w:fill="CCEEFF" w:val="clear"/>
            <w:tcMar>
              <w:bottom w:w="0" w:type="dxa"/>
            </w:tcMar>
            <w:vAlign w:val="center"/>
          </w:tcPr>
          <w:p>
            <w:pPr>
              <w:pStyle w:val="TableContents"/>
              <w:bidi w:val="0"/>
              <w:spacing w:before="0" w:after="283"/>
              <w:jc w:val="right"/>
              <w:rPr/>
            </w:pPr>
            <w:r>
              <w:rPr/>
              <w:t>397,384</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March 2021</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12,241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$30.25 - $34.42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393,938</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April 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14,390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$33.11 - $34.89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491,469</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May 2021</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25,075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$34.56 - $39.93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976,440</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August 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141,700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$41.03 - $42.28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5,944,213</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January 2022</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7,312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$39.07 - $40.88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293,756</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February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170,589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$39.53 - $41.00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6,908,864</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March 2022</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132,054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$39.24 - $40.57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5,306,885</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April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2,942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$39.07 - $41.00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117,758</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May 2022</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3,391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$37.70 - $39.78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131,338</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June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3,515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$37.28 - $39.19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135,063</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July 2022</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700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$36.40 - $37.23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25,864</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August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3,081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$28.24 - $37.79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112,456</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September 2022</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91,508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$36.80 - $37.50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3,443,845</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October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701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$35.20 - $36.14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14,434</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November 2022</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1,103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$34.53 - $35.28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38,790</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December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1,501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$33.26 - $34.84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51,295</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January 2023</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2,052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$32.78 - $34.84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68,665</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February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3,131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$33.06 - $39.03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115,430</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March 2023</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2,003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$37.02 - $38.89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76,214</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April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649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$35.79 - $37.03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23,671</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May 2023</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100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$36.53 - $36.53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3,658</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June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2,300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$33.63 - $38.76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85,556</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August 2023</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14,751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$36.98 - $39.41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575,728</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September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125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$38.11 - $38.11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4,772</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November 2023</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475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$37.03 - $37.78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17,825</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December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12,748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$37.53 - $41.03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520,749</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March 2024</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40,000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$45.03 - $45.03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1,801,205</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April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700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$43.76 - $43.76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30,637</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May 2024</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12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$44.82 - $44.82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543</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June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15,909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$50.03 - $50.03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795,932</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September 2025</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100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$47.68 - $47.68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4,773</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October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2,097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$43.03 - $47.38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94,038</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November 2025</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1,012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$41.84 - $43.15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43,100</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December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1,026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$41.68 - $46.08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45,738</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January 2026</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1,375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 xml:space="preserve">$43.12 - $45.62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60,872</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February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60,600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$42.44 - $47.77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2,893,547</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March 2026</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4,421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$40.07 - $44.40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187,893</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April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638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$39.04 - $40.28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shd w:fill="CCEEFF" w:val="clear"/>
            <w:tcMar>
              <w:bottom w:w="0" w:type="dxa"/>
            </w:tcMar>
            <w:vAlign w:val="center"/>
          </w:tcPr>
          <w:p>
            <w:pPr>
              <w:pStyle w:val="TableContents"/>
              <w:bidi w:val="0"/>
              <w:spacing w:before="0" w:after="283"/>
              <w:jc w:val="left"/>
              <w:rPr/>
            </w:pPr>
            <w:r>
              <w:rPr/>
              <w:t> </w:t>
            </w:r>
          </w:p>
        </w:tc>
        <w:tc>
          <w:tcPr>
            <w:tcW w:w="3337" w:type="dxa"/>
            <w:tcBorders/>
            <w:shd w:fill="CCEEFF" w:val="clear"/>
            <w:tcMar>
              <w:bottom w:w="0" w:type="dxa"/>
            </w:tcMar>
            <w:vAlign w:val="center"/>
          </w:tcPr>
          <w:p>
            <w:pPr>
              <w:pStyle w:val="TableContents"/>
              <w:bidi w:val="0"/>
              <w:spacing w:before="0" w:after="283"/>
              <w:jc w:val="right"/>
              <w:rPr/>
            </w:pPr>
            <w:r>
              <w:rPr/>
              <w:t>25,471</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May 2026</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701" w:type="dxa"/>
            <w:tcBorders/>
            <w:tcMar>
              <w:bottom w:w="0" w:type="dxa"/>
            </w:tcMar>
            <w:vAlign w:val="center"/>
          </w:tcPr>
          <w:p>
            <w:pPr>
              <w:pStyle w:val="TableContents"/>
              <w:bidi w:val="0"/>
              <w:spacing w:before="0" w:after="283"/>
              <w:jc w:val="right"/>
              <w:rPr/>
            </w:pPr>
            <w:r>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sz w:val="20"/>
              </w:rPr>
            </w:pPr>
            <w:r>
              <w:rPr>
                <w:sz w:val="20"/>
              </w:rPr>
              <w:t>$40.02 - $40.02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tcMar>
              <w:bottom w:w="0" w:type="dxa"/>
            </w:tcMar>
            <w:vAlign w:val="center"/>
          </w:tcPr>
          <w:p>
            <w:pPr>
              <w:pStyle w:val="TableContents"/>
              <w:bidi w:val="0"/>
              <w:spacing w:before="0" w:after="283"/>
              <w:jc w:val="left"/>
              <w:rPr/>
            </w:pPr>
            <w:r>
              <w:rPr/>
              <w:t> </w:t>
            </w:r>
          </w:p>
        </w:tc>
        <w:tc>
          <w:tcPr>
            <w:tcW w:w="3337" w:type="dxa"/>
            <w:tcBorders/>
            <w:tcMar>
              <w:bottom w:w="0" w:type="dxa"/>
            </w:tcMar>
            <w:vAlign w:val="center"/>
          </w:tcPr>
          <w:p>
            <w:pPr>
              <w:pStyle w:val="TableContents"/>
              <w:bidi w:val="0"/>
              <w:spacing w:before="0" w:after="283"/>
              <w:jc w:val="right"/>
              <w:rPr/>
            </w:pPr>
            <w:r>
              <w:rPr/>
              <w:t>165</w:t>
            </w:r>
          </w:p>
        </w:tc>
        <w:tc>
          <w:tcPr>
            <w:tcW w:w="139" w:type="dxa"/>
            <w:tcBorders/>
            <w:tcMar>
              <w:bottom w:w="0" w:type="dxa"/>
            </w:tcMar>
            <w:vAlign w:val="center"/>
          </w:tcPr>
          <w:p>
            <w:pPr>
              <w:pStyle w:val="TableContents"/>
              <w:bidi w:val="0"/>
              <w:spacing w:before="0" w:after="283"/>
              <w:jc w:val="left"/>
              <w:rPr/>
            </w:pPr>
            <w:r>
              <w:rPr/>
              <w:t> </w:t>
            </w:r>
          </w:p>
        </w:tc>
      </w:tr>
      <w:tr>
        <w:trPr/>
        <w:tc>
          <w:tcPr>
            <w:tcW w:w="1419" w:type="dxa"/>
            <w:tcBorders/>
            <w:shd w:fill="CCEEFF" w:val="clear"/>
            <w:tcMar>
              <w:bottom w:w="0" w:type="dxa"/>
            </w:tcMar>
            <w:vAlign w:val="center"/>
          </w:tcPr>
          <w:p>
            <w:pPr>
              <w:pStyle w:val="TableContents"/>
              <w:bidi w:val="0"/>
              <w:spacing w:before="0" w:after="283"/>
              <w:jc w:val="left"/>
              <w:rPr/>
            </w:pPr>
            <w:r>
              <w:rPr/>
              <w:t>June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bottom w:val="single" w:sz="12" w:space="0" w:color="000000"/>
            </w:tcBorders>
            <w:shd w:fill="CCEEFF" w:val="clear"/>
            <w:vAlign w:val="center"/>
          </w:tcPr>
          <w:p>
            <w:pPr>
              <w:pStyle w:val="TableContents"/>
              <w:bidi w:val="0"/>
              <w:spacing w:before="0" w:after="283"/>
              <w:jc w:val="left"/>
              <w:rPr/>
            </w:pPr>
            <w:r>
              <w:rPr/>
              <w:t> </w:t>
            </w:r>
          </w:p>
        </w:tc>
        <w:tc>
          <w:tcPr>
            <w:tcW w:w="1701" w:type="dxa"/>
            <w:tcBorders>
              <w:bottom w:val="single" w:sz="12" w:space="0" w:color="000000"/>
            </w:tcBorders>
            <w:shd w:fill="CCEEFF" w:val="clear"/>
            <w:vAlign w:val="center"/>
          </w:tcPr>
          <w:p>
            <w:pPr>
              <w:pStyle w:val="TableContents"/>
              <w:bidi w:val="0"/>
              <w:spacing w:before="0" w:after="283"/>
              <w:jc w:val="right"/>
              <w:rPr/>
            </w:pPr>
            <w:r>
              <w:rPr/>
              <w:t>123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center"/>
              <w:rPr/>
            </w:pPr>
            <w:r>
              <w:rPr/>
              <w:t> </w:t>
            </w:r>
          </w:p>
        </w:tc>
        <w:tc>
          <w:tcPr>
            <w:tcW w:w="2348" w:type="dxa"/>
            <w:tcBorders/>
            <w:shd w:fill="CCEEFF" w:val="clear"/>
            <w:tcMar>
              <w:bottom w:w="0" w:type="dxa"/>
            </w:tcMar>
            <w:vAlign w:val="center"/>
          </w:tcPr>
          <w:p>
            <w:pPr>
              <w:pStyle w:val="TableContents"/>
              <w:bidi w:val="0"/>
              <w:spacing w:before="0" w:after="283"/>
              <w:jc w:val="center"/>
              <w:rPr>
                <w:sz w:val="20"/>
              </w:rPr>
            </w:pPr>
            <w:r>
              <w:rPr>
                <w:sz w:val="20"/>
              </w:rPr>
              <w:t xml:space="preserve">$44.96 - $44.96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9" w:type="dxa"/>
            <w:tcBorders>
              <w:bottom w:val="single" w:sz="12" w:space="0" w:color="000000"/>
            </w:tcBorders>
            <w:shd w:fill="CCEEFF" w:val="clear"/>
            <w:vAlign w:val="center"/>
          </w:tcPr>
          <w:p>
            <w:pPr>
              <w:pStyle w:val="TableContents"/>
              <w:bidi w:val="0"/>
              <w:spacing w:before="0" w:after="283"/>
              <w:jc w:val="left"/>
              <w:rPr/>
            </w:pPr>
            <w:r>
              <w:rPr/>
              <w:t> </w:t>
            </w:r>
          </w:p>
        </w:tc>
        <w:tc>
          <w:tcPr>
            <w:tcW w:w="3337" w:type="dxa"/>
            <w:tcBorders>
              <w:bottom w:val="single" w:sz="12" w:space="0" w:color="000000"/>
            </w:tcBorders>
            <w:shd w:fill="CCEEFF" w:val="clear"/>
            <w:vAlign w:val="center"/>
          </w:tcPr>
          <w:p>
            <w:pPr>
              <w:pStyle w:val="TableContents"/>
              <w:bidi w:val="0"/>
              <w:spacing w:before="0" w:after="283"/>
              <w:jc w:val="right"/>
              <w:rPr/>
            </w:pPr>
            <w:r>
              <w:rPr/>
              <w:t>5,535</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19" w:type="dxa"/>
            <w:tcBorders/>
            <w:tcMar>
              <w:bottom w:w="0" w:type="dxa"/>
            </w:tcMar>
            <w:vAlign w:val="center"/>
          </w:tcPr>
          <w:p>
            <w:pPr>
              <w:pStyle w:val="TableContents"/>
              <w:bidi w:val="0"/>
              <w:spacing w:before="0" w:after="283"/>
              <w:jc w:val="left"/>
              <w:rPr/>
            </w:pPr>
            <w:r>
              <w:rPr/>
              <w:t>Total</w:t>
            </w:r>
          </w:p>
        </w:tc>
        <w:tc>
          <w:tcPr>
            <w:tcW w:w="90" w:type="dxa"/>
            <w:tcBorders/>
            <w:tcMar>
              <w:bottom w:w="0" w:type="dxa"/>
            </w:tcMar>
            <w:vAlign w:val="center"/>
          </w:tcPr>
          <w:p>
            <w:pPr>
              <w:pStyle w:val="TableContents"/>
              <w:bidi w:val="0"/>
              <w:spacing w:before="0" w:after="283"/>
              <w:jc w:val="left"/>
              <w:rPr/>
            </w:pPr>
            <w:r>
              <w:rPr/>
              <w:t> </w:t>
            </w:r>
          </w:p>
        </w:tc>
        <w:tc>
          <w:tcPr>
            <w:tcW w:w="182" w:type="dxa"/>
            <w:tcBorders>
              <w:bottom w:val="double" w:sz="10" w:space="0" w:color="000000"/>
            </w:tcBorders>
            <w:vAlign w:val="center"/>
          </w:tcPr>
          <w:p>
            <w:pPr>
              <w:pStyle w:val="TableContents"/>
              <w:bidi w:val="0"/>
              <w:spacing w:before="0" w:after="283"/>
              <w:jc w:val="left"/>
              <w:rPr/>
            </w:pPr>
            <w:r>
              <w:rPr/>
              <w:t> </w:t>
            </w:r>
          </w:p>
        </w:tc>
        <w:tc>
          <w:tcPr>
            <w:tcW w:w="1701" w:type="dxa"/>
            <w:tcBorders>
              <w:bottom w:val="double" w:sz="10" w:space="0" w:color="000000"/>
            </w:tcBorders>
            <w:vAlign w:val="center"/>
          </w:tcPr>
          <w:p>
            <w:pPr>
              <w:pStyle w:val="TableContents"/>
              <w:bidi w:val="0"/>
              <w:spacing w:before="0" w:after="283"/>
              <w:jc w:val="right"/>
              <w:rPr/>
            </w:pPr>
            <w:r>
              <w:rPr/>
              <w:t>791,236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center"/>
              <w:rPr/>
            </w:pPr>
            <w:r>
              <w:rPr/>
              <w:t> </w:t>
            </w:r>
          </w:p>
        </w:tc>
        <w:tc>
          <w:tcPr>
            <w:tcW w:w="234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9" w:type="dxa"/>
            <w:tcBorders>
              <w:bottom w:val="double" w:sz="10" w:space="0" w:color="000000"/>
            </w:tcBorders>
            <w:vAlign w:val="center"/>
          </w:tcPr>
          <w:p>
            <w:pPr>
              <w:pStyle w:val="TableContents"/>
              <w:bidi w:val="0"/>
              <w:spacing w:before="0" w:after="283"/>
              <w:jc w:val="left"/>
              <w:rPr/>
            </w:pPr>
            <w:r>
              <w:rPr/>
              <w:t>$</w:t>
            </w:r>
          </w:p>
        </w:tc>
        <w:tc>
          <w:tcPr>
            <w:tcW w:w="3337" w:type="dxa"/>
            <w:tcBorders>
              <w:bottom w:val="double" w:sz="10" w:space="0" w:color="000000"/>
            </w:tcBorders>
            <w:vAlign w:val="center"/>
          </w:tcPr>
          <w:p>
            <w:pPr>
              <w:pStyle w:val="TableContents"/>
              <w:bidi w:val="0"/>
              <w:spacing w:before="0" w:after="283"/>
              <w:jc w:val="right"/>
              <w:rPr/>
            </w:pPr>
            <w:r>
              <w:rPr/>
              <w:t>32,265,510</w:t>
            </w:r>
          </w:p>
        </w:tc>
        <w:tc>
          <w:tcPr>
            <w:tcW w:w="139"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zero shares that were not yet transferred into treasury.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Segment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it has a single operating segment in accordance with Topic 280, Segment Reporting (“ASC 280”). The Company’s Chief Operating Decision Maker (“CODM”) are the Chief Executive Officer and the Chief Financial Officer. While the Company derives income and capital appreciation by providing investments to companies across various industries, the Company and the CODM evaluate and monitor performance of the business on a consolidated basis. Further, each investment is evaluated and managed using similar processes and shared operations support functions such as deal origination, underwriting, and loan servicing as well as the administrative functions of human resources, legal, finance, and information technology.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uses consolidated net investment income and net increase (decrease) in net assets resulting from operations when allocating resources and assessing the Company’s performance. Net investment income is comprised of consolidated total investment income (“segment revenues”) and consolidated total net operating expenses (“significant segment expenses”). The net increase (decrease) in net assets resulting from operations is comprised of consolidated net investment income, consolidated net realized gains (losses) from investments, and consolidated net change in unrealized gains (losses) from investments. These performance metrics are considered the key segment measures of profit or loss reviewed by the CODM. As the Company’s operations comprise a single reporting segment, the segment assets are reflected on the accompanying Consolidated Statements of Assets and Liabilities as Total Assets, investments held on the Consolidated Schedule of Investments, and the significant segment expenses are listed on the accompanying Consolidated Statements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Subsequent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subsequent events through the date of issuance of the consolidated financial statements included herein. Other than the items disclosed herein, there have been no subsequent events that occurred during such period that would require disclosure in this Form 10-Q or would be required to be recognized in the Consolidated Financial Statements as of and for the three and nine months ended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 w:name="aa_007"/>
      <w:bookmarkEnd w:id="8"/>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should be read in conjunction with our financial statements and related notes and other financial information appearing elsewhere in this quarterly report on Form 10-Q.</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specified, references to “we,” “us,” “our,” or the “Company,” refer to PhenixFIN Corporation.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in this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pStyle w:val="TextBody"/>
        <w:bidi w:val="0"/>
        <w:spacing w:before="0" w:after="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105"/>
        <w:gridCol w:w="200"/>
        <w:gridCol w:w="70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withdrawal, success and timing of business initiatives and strategies;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political, economic or industry conditions, the interest rate environment or conditions affecting the financial and capital markets, which could result in changes in the value of our assets;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new or increased tariffs on various goods;</w:t>
            </w:r>
          </w:p>
        </w:tc>
      </w:tr>
    </w:tbl>
    <w:p>
      <w:pPr>
        <w:pStyle w:val="TextBody"/>
        <w:bidi w:val="0"/>
        <w:spacing w:before="0" w:after="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105"/>
        <w:gridCol w:w="200"/>
        <w:gridCol w:w="30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increased competition;</w:t>
            </w:r>
          </w:p>
        </w:tc>
      </w:tr>
    </w:tbl>
    <w:p>
      <w:pPr>
        <w:pStyle w:val="TextBody"/>
        <w:bidi w:val="0"/>
        <w:spacing w:before="0" w:after="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105"/>
        <w:gridCol w:w="200"/>
        <w:gridCol w:w="41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future acquisitions and divestitures;</w:t>
            </w:r>
          </w:p>
        </w:tc>
      </w:tr>
    </w:tbl>
    <w:p>
      <w:pPr>
        <w:pStyle w:val="TextBody"/>
        <w:bidi w:val="0"/>
        <w:spacing w:before="0" w:after="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05"/>
        <w:gridCol w:w="200"/>
        <w:gridCol w:w="56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prospects and the prospects of our portfolio companies;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legislative and regulatory actions and reforms and regulatory, supervisory or enforcement actions of government agencies relating to us;</w:t>
            </w:r>
          </w:p>
        </w:tc>
      </w:tr>
    </w:tbl>
    <w:p>
      <w:pPr>
        <w:pStyle w:val="TextBody"/>
        <w:bidi w:val="0"/>
        <w:spacing w:before="0" w:after="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105"/>
        <w:gridCol w:w="200"/>
        <w:gridCol w:w="53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contractual arrangements and relationships with third parties;</w:t>
            </w:r>
          </w:p>
        </w:tc>
      </w:tr>
    </w:tbl>
    <w:p>
      <w:pPr>
        <w:pStyle w:val="TextBody"/>
        <w:bidi w:val="0"/>
        <w:spacing w:before="0" w:after="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105"/>
        <w:gridCol w:w="200"/>
        <w:gridCol w:w="23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financings by us;</w:t>
            </w:r>
          </w:p>
        </w:tc>
      </w:tr>
    </w:tbl>
    <w:p>
      <w:pPr>
        <w:pStyle w:val="TextBody"/>
        <w:bidi w:val="0"/>
        <w:spacing w:before="0" w:after="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105"/>
        <w:gridCol w:w="200"/>
        <w:gridCol w:w="39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foreign currency exchange rates;</w:t>
            </w:r>
          </w:p>
        </w:tc>
      </w:tr>
    </w:tbl>
    <w:p>
      <w:pPr>
        <w:pStyle w:val="TextBody"/>
        <w:bidi w:val="0"/>
        <w:spacing w:before="0" w:after="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05"/>
        <w:gridCol w:w="200"/>
        <w:gridCol w:w="59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changes to tax legislation and, generally, our tax position;</w:t>
            </w:r>
          </w:p>
        </w:tc>
      </w:tr>
    </w:tbl>
    <w:p>
      <w:pPr>
        <w:pStyle w:val="TextBody"/>
        <w:bidi w:val="0"/>
        <w:spacing w:before="0" w:after="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105"/>
        <w:gridCol w:w="200"/>
        <w:gridCol w:w="77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locate suitable investments for us and to monitor and administer our investments;</w:t>
            </w:r>
          </w:p>
        </w:tc>
      </w:tr>
    </w:tbl>
    <w:p>
      <w:pPr>
        <w:pStyle w:val="TextBody"/>
        <w:bidi w:val="0"/>
        <w:spacing w:before="0" w:after="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105"/>
        <w:gridCol w:w="200"/>
        <w:gridCol w:w="50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highly talented professionals;</w:t>
            </w:r>
          </w:p>
        </w:tc>
      </w:tr>
    </w:tbl>
    <w:p>
      <w:pPr>
        <w:pStyle w:val="TextBody"/>
        <w:bidi w:val="0"/>
        <w:spacing w:before="0" w:after="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105"/>
        <w:gridCol w:w="200"/>
        <w:gridCol w:w="87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and our ability to access alternative debt markets and additional debt and equity capital;</w:t>
            </w:r>
          </w:p>
        </w:tc>
      </w:tr>
    </w:tbl>
    <w:p>
      <w:pPr>
        <w:pStyle w:val="TextBody"/>
        <w:bidi w:val="0"/>
        <w:spacing w:before="0" w:after="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105"/>
        <w:gridCol w:w="200"/>
        <w:gridCol w:w="39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unfavorable resolution of legal proceedings;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the effect of pandemics and other future market disruptions on our business prospects and the operational and financial performance of our portfolio companies, including our and their ability to achieve their respective objectives; and the effect of disruptions on our ability to continue to effectively manage our business;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and uncertainties relating to the possibility that the Company may explore strategic alternatives, including, but are not limited to: the timing, benefits and outcome of any exploration of strategic alternatives by the Company; potential disruptions in the Company’s business and stock price as a result of our exploration of any strategic alternatives; the ability to realize anticipated efficiencies, or strategic or financial benefits; potential transaction costs and risks; and the risk that any exploration of strategic alternatives may have an adverse effect on our existing business arrangements or relationships, including our ability to retain or hire key personnel. There is no assurance that any exploration of strategic alternatives will result in a transaction or other strategic change or outcome.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forward-looking statements may include statements preceded by, followed by or that otherwise include the words “trend,” “opportunity,” “pipeline,” “believe,” “comfortable,” “expect,” “anticipate,” “current,” “intention,” “estimate,” “position,” “assume,” “potential,” “outlook,” “continue,” “remain,” “maintain,” “sustain,” “seek,” “achieve,” and similar expressions, or future or conditional verbs such as “will,” “would,” “should,” “could,” “may,” or similar expressions. The forward looking statements contained in this quarterly report on Form 10-Q involve risks and uncertainties. Our actual results could differ materially from those implied or expressed in the forward-looking statements for any reason, including the factors set forth as “Risk Factors” and elsewhere in this quarterly report on Form 10-Q.</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 forward-looking statements included in this report on information available to us on the date of this report, and we assume no obligation to update any such forward-looking statements. Actual results could differ materially from those anticipated in our forward-looking statements, and future results could differ materially from historical performance.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Securities and Exchange Commission (“SEC”), including annual reports on Form 10-K, registration statements on Form N-2, quarterly reports on Form 10-Q and current reports on Form 8-K.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Events and Market Volatility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Periods of market volatility have occurred and could continue to occur in response to pandemics or other events outside of our control, including terrorist attacks, acts of war, natural disasters, significant tariffs, public health crises or similar events. These types of events have adversely affected and could continue to adversely affect operating results for us and for our portfolio companies.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large-scale invasion of Ukraine by Russia in February 2022 resulted in sanctions and market disruptions, including declines in regional and global stock markets, unusual volatility in global commodity markets and significant devaluations of Russian currency. The extent and duration of the military action are impossible to predict but could be significant. Market disruption caused by the Russian military action, and any counter measures or responses thereto (including international sanctions, a downgrade in a country’s credit rating, purchasing and financing restrictions, boycotts, tariffs, changes in consumer or purchaser preferences, cyberattacks and espionage) could continue to have severe adverse impacts on regional and/or global securities and commodities markets, including markets for oil and natural gas. These impacts may include reduced market liquidity, distress in credit markets, further disruption of global supply chains, increased risk of inflation, and limited access to investments in certain international markets and/or issuers.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ongoing instability and conflict in the Middle East, including tensions involving Iran, present additional risks to global markets. Heightened geopolitical tensions in the region may lead to disruptions in critical energy infrastructure and shipping routes, including key chokepoints such as the Strait of Hormuz, through which a significant portion of global oil supply transits. Any escalation involving Iran—whether through direct military confrontation, proxy conflicts, or expanded sanctions—could materially affect global oil production, transportation, and pricing, contributing to increased volatility in energy markets and broader financial markets. In addition, terrorist activities or regional conflicts may further exacerbate uncertainty, potentially resulting in supply chain interruptions, increased defense and security costs, and shifts in investor sentiment and capital flows. These developments could have cascading effects across global economies and financial systems, amplifying existing market disruptions and contributing to sustained periods of volatility and risk aversion.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and duration of these military actions, conflicts and resulting market disruptions are impossible to predict, but have been and could continue to be substantial, and any such market disruptions could affect our portfolio companies’ operations. As a result, our portfolio investments could decline in value or our valuation of them could become uncertain.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evaluated subsequent events from June 30, 2026, through the filing date of this quarterly report on Form 10-Q. However, as the discussion in this Item 2. Management’s Discussion and Analysis of Financial Condition and Results of Operations relates to the Company’s financial statements for the quarterly period ended June 30, 2026, the analysis contained herein may not fully account for market event impacts. As of June 30, 2026, the Company valued its portfolio investments in conformity with U.S. generally accepted accounting principles (“GAAP”) based on the facts and circumstances known by the Company at that time or reasonably expected to be known at that time. Due to the overall volatility that market events may have caused during the months following our most recent valuation (as of June 30, 2026), any valuations conducted now or in the future in conformity with U.S. GAAP could result in a lower fair value of our portfolio.</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Environment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Federal Reserve raised short-term interest rates. Additional interest rate increases may come. Changing interest rates may have unpredictable effects on markets, may result in heightened market volatility and may detract from our performance to the extent we are exposed to such interest rates and/or volatility. In periods of rising interest rates, to the extent we borrow money subject to a floating interest rate, our cost of funds would increase, which could reduce our net investment income. Further, rising interest rates could also adversely affect our performance if such increases cause our borrowing costs to rise at a rate in excess of the rate that our investments yield. Further, rising interest rates could also adversely affect our performance if we hold investments with floating interest rates, subject to specified minimum interest rates (such as a SOFR floor),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general level of interest rates can be expected to lead to a change in the interest rates we receive on many of our debt investments.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internally-managed non-diversified closed-end management investment company that has elected to be regulated as a BDC under the 1940 Act. In addition, we have elected, and intend to qualify annually, to be treated for U.S. federal income tax purposes as a RIC under Subchapter M of the Code. Through December 31, 2020, we were an externally managed company. Since January 1, 2021, we have operated under our present internalized management structure.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commenced operations and completed our initial public offering on January 20, 2011. Under our internalized management structure, our activities are managed by our senior professionals and are supervised by our board of directors, of which a majority of the members are independent of 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objective is to generate current income and capital appreciation. The management team seeks to achieve this objective primarily through making loans, private equity or other investments in privately-held companies. The Company may also make debt, equity or other investments in publicly-traded companies. These investments may also include investments in other BDCs, closed-end funds or REITs. We may also pursue other strategic opportunities and invest in other assets or operate other businesses to achieve our investment objective, such as operating and managing an asset-based lending business and an insurance business. The portfolio generally consists of senior secured first lien term loans, senior secured second lien term loans, senior secured bonds, preferred equity and common equity. Occasionally, we will receive warrants or other equity participation features which we believe will have the potential to increase total investment returns. Our loan and other debt investments are primarily rated below investment grade or are unrated. Investments in below investment grade securities are considered predominantly speculative with respect to the issuer’s capacity to pay interest and repay principal when due.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BDC,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(or 150% if, pursuant to the 1940 Act, certain requirements are met) after such borrowing, with certain limited exceptions. To maintain our RIC tax treatment, we must meet specified source-of-income and asset diversification requirements. In addition, to maintain our RIC tax treatment, we must timely distribute at least 90% of our net ordinary income and realized net short-term capital gains in excess of realized net long-term capital losses, if any, for the taxable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in the form of interest income on the debt that we hold and dividends and capital gains, if any, on our equity investments that we may acquire in portfolio companies. We invest our assets primarily in privately held companies with enterprise or asset values between $25 million and $250 million and generally focus on investment sizes of $10 million to $50 million. We believe that pursuing opportunities of this size offers several benefits including reduced competition, a larger investment opportunity set and the ability to minimize the impact of financial intermediaries. We expect our debt investments to bear interest at either a fixed or floating rate. Interest on debt will be payable generally either monthly or quarterly. In some cases our debt investments may provide for a portion of the interest to be PIK. To the extent interest is PIK, it will be payable through the increase of the principal amount of the obligation by the amount of interest due on the then-outstanding aggregate principal amount of such obligation. The principal amount of the debt and any accrued but unpaid interest will generally become due at the maturity date. In addition, we may generate revenue in the form of commitment, origination, structuring or diligence fees, fees for providing managerial assistance or investment management services and possibly consulting fees. Any such fees will be recognized as earned.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internally managed structure, we bear all costs and expenses of our operations and transactions, including those relating to:</w:t>
      </w:r>
    </w:p>
    <w:p>
      <w:pPr>
        <w:pStyle w:val="TextBody"/>
        <w:bidi w:val="0"/>
        <w:spacing w:before="0" w:after="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05"/>
        <w:gridCol w:w="200"/>
        <w:gridCol w:w="43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organization and continued corporate existence;</w:t>
            </w:r>
          </w:p>
        </w:tc>
      </w:tr>
    </w:tbl>
    <w:p>
      <w:pPr>
        <w:pStyle w:val="TextBody"/>
        <w:bidi w:val="0"/>
        <w:spacing w:before="0" w:after="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105"/>
        <w:gridCol w:w="200"/>
        <w:gridCol w:w="90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calculating our net asset value (“NAV”) (including the cost and expenses of any independent valuation firms);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including travel expense, incurred by our professionals or payable to third parties performing due diligence on prospective portfolio companies, monitoring our investments and, if necessary, enforcing our rights;</w:t>
            </w:r>
          </w:p>
        </w:tc>
      </w:tr>
    </w:tbl>
    <w:p>
      <w:pPr>
        <w:pStyle w:val="TextBody"/>
        <w:bidi w:val="0"/>
        <w:spacing w:before="0" w:after="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105"/>
        <w:gridCol w:w="200"/>
        <w:gridCol w:w="50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 on debt, incurred to finance our investments;</w:t>
            </w:r>
          </w:p>
        </w:tc>
      </w:tr>
    </w:tbl>
    <w:p>
      <w:pPr>
        <w:pStyle w:val="TextBody"/>
        <w:bidi w:val="0"/>
        <w:spacing w:before="0" w:after="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05"/>
        <w:gridCol w:w="200"/>
        <w:gridCol w:w="52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all offerings of common shares and other securities;</w:t>
            </w:r>
          </w:p>
        </w:tc>
      </w:tr>
    </w:tbl>
    <w:p>
      <w:pPr>
        <w:pStyle w:val="TextBody"/>
        <w:bidi w:val="0"/>
        <w:spacing w:before="0" w:after="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105"/>
        <w:gridCol w:w="200"/>
        <w:gridCol w:w="68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 associated with employing investment professionals and other staff;</w:t>
            </w:r>
          </w:p>
        </w:tc>
      </w:tr>
    </w:tbl>
    <w:p>
      <w:pPr>
        <w:pStyle w:val="TextBody"/>
        <w:bidi w:val="0"/>
        <w:spacing w:before="0" w:after="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105"/>
        <w:gridCol w:w="200"/>
        <w:gridCol w:w="23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on our shares;</w:t>
            </w:r>
          </w:p>
        </w:tc>
      </w:tr>
    </w:tbl>
    <w:p>
      <w:pPr>
        <w:pStyle w:val="TextBody"/>
        <w:bidi w:val="0"/>
        <w:spacing w:before="0" w:after="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105"/>
        <w:gridCol w:w="200"/>
        <w:gridCol w:w="53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 fees payable under our administration agreement;</w:t>
            </w:r>
          </w:p>
        </w:tc>
      </w:tr>
    </w:tbl>
    <w:p>
      <w:pPr>
        <w:pStyle w:val="TextBody"/>
        <w:bidi w:val="0"/>
        <w:spacing w:before="0" w:after="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05"/>
        <w:gridCol w:w="200"/>
        <w:gridCol w:w="28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custodial fees related to our assets</w:t>
            </w:r>
          </w:p>
        </w:tc>
      </w:tr>
    </w:tbl>
    <w:p>
      <w:pPr>
        <w:pStyle w:val="TextBody"/>
        <w:bidi w:val="0"/>
        <w:spacing w:before="0" w:after="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105"/>
        <w:gridCol w:w="200"/>
        <w:gridCol w:w="69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payable to third parties relating to, or associated with, making investments;</w:t>
            </w:r>
          </w:p>
        </w:tc>
      </w:tr>
    </w:tbl>
    <w:p>
      <w:pPr>
        <w:pStyle w:val="TextBody"/>
        <w:bidi w:val="0"/>
        <w:spacing w:before="0" w:after="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105"/>
        <w:gridCol w:w="200"/>
        <w:gridCol w:w="27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agent and custodial fees;</w:t>
            </w:r>
          </w:p>
        </w:tc>
      </w:tr>
    </w:tbl>
    <w:p>
      <w:pPr>
        <w:pStyle w:val="TextBody"/>
        <w:bidi w:val="0"/>
        <w:spacing w:before="0" w:after="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05"/>
        <w:gridCol w:w="200"/>
        <w:gridCol w:w="26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registration and listing fees;</w:t>
            </w:r>
          </w:p>
        </w:tc>
      </w:tr>
    </w:tbl>
    <w:p>
      <w:pPr>
        <w:pStyle w:val="TextBody"/>
        <w:bidi w:val="0"/>
        <w:spacing w:before="0" w:after="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05"/>
        <w:gridCol w:w="200"/>
        <w:gridCol w:w="28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state and local taxes;</w:t>
            </w:r>
          </w:p>
        </w:tc>
      </w:tr>
    </w:tbl>
    <w:p>
      <w:pPr>
        <w:pStyle w:val="TextBody"/>
        <w:bidi w:val="0"/>
        <w:spacing w:before="0" w:after="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105"/>
        <w:gridCol w:w="200"/>
        <w:gridCol w:w="34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directors’ fees and expenses;</w:t>
            </w:r>
          </w:p>
        </w:tc>
      </w:tr>
    </w:tbl>
    <w:p>
      <w:pPr>
        <w:pStyle w:val="TextBody"/>
        <w:bidi w:val="0"/>
        <w:spacing w:before="0" w:after="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105"/>
        <w:gridCol w:w="200"/>
        <w:gridCol w:w="72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preparing and filing reports or other documents with the SEC or other regulators;</w:t>
            </w:r>
          </w:p>
        </w:tc>
      </w:tr>
    </w:tbl>
    <w:p>
      <w:pPr>
        <w:pStyle w:val="TextBody"/>
        <w:bidi w:val="0"/>
        <w:spacing w:before="0" w:after="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105"/>
        <w:gridCol w:w="200"/>
        <w:gridCol w:w="84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any reports, proxy statements or other notices to our stockholders, including printing costs;</w:t>
            </w:r>
          </w:p>
        </w:tc>
      </w:tr>
    </w:tbl>
    <w:p>
      <w:pPr>
        <w:pStyle w:val="TextBody"/>
        <w:bidi w:val="0"/>
        <w:spacing w:before="0" w:after="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105"/>
        <w:gridCol w:w="200"/>
        <w:gridCol w:w="15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fidelity bond;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105"/>
        <w:gridCol w:w="200"/>
        <w:gridCol w:w="79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officers/errors and omissions liability insurance, and any other insurance premiums;</w:t>
            </w:r>
          </w:p>
        </w:tc>
      </w:tr>
    </w:tbl>
    <w:p>
      <w:pPr>
        <w:pStyle w:val="TextBody"/>
        <w:bidi w:val="0"/>
        <w:spacing w:before="0" w:after="0"/>
        <w:ind w:left="52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105"/>
        <w:gridCol w:w="200"/>
        <w:gridCol w:w="32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lease of our office space;</w:t>
            </w:r>
          </w:p>
        </w:tc>
      </w:tr>
    </w:tbl>
    <w:p>
      <w:pPr>
        <w:pStyle w:val="TextBody"/>
        <w:bidi w:val="0"/>
        <w:spacing w:before="0" w:after="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105"/>
        <w:gridCol w:w="200"/>
        <w:gridCol w:w="26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payments; and</w:t>
            </w:r>
          </w:p>
        </w:tc>
      </w:tr>
    </w:tbl>
    <w:p>
      <w:pPr>
        <w:pStyle w:val="TextBody"/>
        <w:bidi w:val="0"/>
        <w:spacing w:before="0" w:after="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05"/>
        <w:gridCol w:w="200"/>
        <w:gridCol w:w="62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costs and expenses of administration, including audit and legal costs.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Cash Incentive Plan</w:t>
      </w:r>
    </w:p>
    <w:p>
      <w:pPr>
        <w:pStyle w:val="TextBody"/>
        <w:bidi w:val="0"/>
        <w:spacing w:before="0" w:after="0"/>
        <w:ind w:left="8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2022, the board of directors of the Company adopted the PhenixFIN 2022 Long-Term Cash Incentive Plan (the “CIP”) pursuant to the recommendation by the Compensation Committee of the board of directors. The CIP provides for performance-based cash awards to key employees of the Company, as approved by the Compensation Committee, based on the achievement of pre-established financial goals for the approved performance period. The performance goals may be expressed as one or a combination of net asset value of the Company, net asset value per share of the Company’s common stock, changes in the market price of shares of the Company’s common stock, individual performance metrics and/or such other goals and objectives the Committee considers relevant in connection with accomplishing the purposes of the CIP.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pursuant to the CIP, the Compensation Committee, approved awards for Mr. Lorber and Ms. McMillan for the three-year performance period commencing on October 1, 2022 and ending on September 30, 2025 (the “2023 LTIP Plan”). Each participant is eligible to receive an amount of cash equal to a percentage of the target award amount based on the factors described above. The Compensation Committee, in approving the awards, evaluated each performance goal separately.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pursuant to the CIP, the Compensation Committee approved awards for Mr. Lorber and Ms. McMillan for the three-year performance period commencing on October 1, 2023 and ending on September 30, 2026 (the “2024 LTIP Plan”). Each participant is eligible to receive an amount of cash equal to a percentage of their target award amount based on the factors described above. The Compensation Committee, in approving the awards, evaluated each performance goal separately.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pursuant to the CIP, the Compensation Committee approved awards for Mr. Lorber and Ms. McMillan for the three-year performance period commencing on October 1, 2024 and ending on September 30, 2027 (the “2025 LTIP Plan”). Each participant is eligible to receive an amount of cash equal to a percentage of their target award amount based on the factors described above. The threshold, target, and maximum performance levels are structured similar to those of the CIP. The Compensation Committee, in approving the awards, evaluated each performance goal separately.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pursuant to the CIP, the Compensation Committee approved awards for Mr. Lorber and Ms. McMillan for the three-year performance period commencing on October 1, 2025 and ending on September 30, 2028 (the “2026 LTIP Plan”). Each participant is eligible to receive an amount of cash equal to a percentage of their target award amount based on the factors described above. The threshold, target, and maximum performance levels are structured similar to those of the CIP. The Compensation Committee, in approving the awards, evaluated each performance goal separately.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Performance Award for each executive officer for the 2023 LTIP Plan, the 2024 LTIP Plan, the 2025 LTIP Plan, and the 2026 LTIP Plan is set forth in the table below:</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49"/>
        <w:gridCol w:w="90"/>
        <w:gridCol w:w="257"/>
        <w:gridCol w:w="1261"/>
        <w:gridCol w:w="90"/>
        <w:gridCol w:w="90"/>
        <w:gridCol w:w="257"/>
        <w:gridCol w:w="1261"/>
        <w:gridCol w:w="90"/>
        <w:gridCol w:w="90"/>
        <w:gridCol w:w="182"/>
        <w:gridCol w:w="1412"/>
        <w:gridCol w:w="90"/>
        <w:gridCol w:w="90"/>
        <w:gridCol w:w="182"/>
        <w:gridCol w:w="1473"/>
        <w:gridCol w:w="141"/>
      </w:tblGrid>
      <w:tr>
        <w:trPr/>
        <w:tc>
          <w:tcPr>
            <w:tcW w:w="3149" w:type="dxa"/>
            <w:tcBorders>
              <w:bottom w:val="single" w:sz="12" w:space="0" w:color="000000"/>
            </w:tcBorders>
            <w:vAlign w:val="center"/>
          </w:tcPr>
          <w:p>
            <w:pPr>
              <w:pStyle w:val="TableContents"/>
              <w:bidi w:val="0"/>
              <w:spacing w:before="0" w:after="283"/>
              <w:jc w:val="left"/>
              <w:rPr>
                <w:b/>
              </w:rPr>
            </w:pPr>
            <w:r>
              <w:rPr>
                <w:b/>
              </w:rPr>
              <w:t>Name and Title</w:t>
            </w:r>
          </w:p>
        </w:tc>
        <w:tc>
          <w:tcPr>
            <w:tcW w:w="90" w:type="dxa"/>
            <w:tcBorders/>
            <w:tcMar>
              <w:bottom w:w="0" w:type="dxa"/>
            </w:tcMar>
            <w:vAlign w:val="center"/>
          </w:tcPr>
          <w:p>
            <w:pPr>
              <w:pStyle w:val="TableContents"/>
              <w:bidi w:val="0"/>
              <w:spacing w:before="0" w:after="283"/>
              <w:jc w:val="left"/>
              <w:rPr/>
            </w:pPr>
            <w:r>
              <w:rPr/>
              <w:t> </w:t>
            </w:r>
          </w:p>
        </w:tc>
        <w:tc>
          <w:tcPr>
            <w:tcW w:w="1518" w:type="dxa"/>
            <w:gridSpan w:val="2"/>
            <w:tcBorders>
              <w:bottom w:val="single" w:sz="12" w:space="0" w:color="000000"/>
            </w:tcBorders>
            <w:vAlign w:val="center"/>
          </w:tcPr>
          <w:p>
            <w:pPr>
              <w:pStyle w:val="TableContents"/>
              <w:bidi w:val="0"/>
              <w:spacing w:before="0" w:after="283"/>
              <w:jc w:val="center"/>
              <w:rPr>
                <w:b/>
              </w:rPr>
            </w:pPr>
            <w:r>
              <w:rPr>
                <w:b/>
              </w:rPr>
              <w:t>2023 LTIP</w:t>
              <w:br/>
              <w:t>Dollar Value</w:t>
              <w:br/>
              <w:t>of Target Award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18" w:type="dxa"/>
            <w:gridSpan w:val="2"/>
            <w:tcBorders>
              <w:bottom w:val="single" w:sz="12" w:space="0" w:color="000000"/>
            </w:tcBorders>
            <w:vAlign w:val="center"/>
          </w:tcPr>
          <w:p>
            <w:pPr>
              <w:pStyle w:val="TableContents"/>
              <w:bidi w:val="0"/>
              <w:spacing w:before="0" w:after="283"/>
              <w:jc w:val="center"/>
              <w:rPr>
                <w:b/>
              </w:rPr>
            </w:pPr>
            <w:r>
              <w:rPr>
                <w:b/>
              </w:rPr>
              <w:t>2024 LTIP</w:t>
              <w:br/>
              <w:t>Dollar Value</w:t>
              <w:br/>
              <w:t>of Target Award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12" w:space="0" w:color="000000"/>
            </w:tcBorders>
            <w:vAlign w:val="center"/>
          </w:tcPr>
          <w:p>
            <w:pPr>
              <w:pStyle w:val="TableContents"/>
              <w:bidi w:val="0"/>
              <w:spacing w:before="0" w:after="283"/>
              <w:jc w:val="center"/>
              <w:rPr>
                <w:b/>
              </w:rPr>
            </w:pPr>
            <w:r>
              <w:rPr>
                <w:b/>
              </w:rPr>
              <w:t>2025 LTIP</w:t>
              <w:br/>
              <w:t xml:space="preserve">Dollar Value </w:t>
              <w:br/>
              <w:t>of Target Award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55" w:type="dxa"/>
            <w:gridSpan w:val="2"/>
            <w:tcBorders>
              <w:bottom w:val="single" w:sz="12" w:space="0" w:color="000000"/>
            </w:tcBorders>
            <w:vAlign w:val="center"/>
          </w:tcPr>
          <w:p>
            <w:pPr>
              <w:pStyle w:val="TableContents"/>
              <w:bidi w:val="0"/>
              <w:spacing w:before="0" w:after="283"/>
              <w:jc w:val="center"/>
              <w:rPr>
                <w:b/>
              </w:rPr>
            </w:pPr>
            <w:r>
              <w:rPr>
                <w:b/>
              </w:rPr>
              <w:t>2026 LTIP</w:t>
              <w:br/>
              <w:t>Dollar Value</w:t>
              <w:br/>
              <w:t>of  Target Award</w:t>
            </w:r>
          </w:p>
        </w:tc>
        <w:tc>
          <w:tcPr>
            <w:tcW w:w="141" w:type="dxa"/>
            <w:tcBorders/>
            <w:tcMar>
              <w:bottom w:w="0" w:type="dxa"/>
            </w:tcMar>
            <w:vAlign w:val="center"/>
          </w:tcPr>
          <w:p>
            <w:pPr>
              <w:pStyle w:val="TableContents"/>
              <w:bidi w:val="0"/>
              <w:spacing w:before="0" w:after="283"/>
              <w:jc w:val="left"/>
              <w:rPr/>
            </w:pPr>
            <w:r>
              <w:rPr/>
              <w:t> </w:t>
            </w:r>
          </w:p>
        </w:tc>
      </w:tr>
      <w:tr>
        <w:trPr/>
        <w:tc>
          <w:tcPr>
            <w:tcW w:w="3149" w:type="dxa"/>
            <w:tcBorders/>
            <w:shd w:fill="CCEEFF" w:val="clear"/>
            <w:tcMar>
              <w:bottom w:w="0" w:type="dxa"/>
            </w:tcMar>
            <w:vAlign w:val="center"/>
          </w:tcPr>
          <w:p>
            <w:pPr>
              <w:pStyle w:val="TableContents"/>
              <w:bidi w:val="0"/>
              <w:spacing w:before="0" w:after="283"/>
              <w:jc w:val="left"/>
              <w:rPr/>
            </w:pPr>
            <w:r>
              <w:rPr/>
              <w:t>David Lorber, Chairman of the Board and Chief Executive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w:t>
            </w:r>
          </w:p>
        </w:tc>
        <w:tc>
          <w:tcPr>
            <w:tcW w:w="1261" w:type="dxa"/>
            <w:tcBorders/>
            <w:shd w:fill="CCEEFF" w:val="clear"/>
            <w:tcMar>
              <w:bottom w:w="0" w:type="dxa"/>
            </w:tcMar>
            <w:vAlign w:val="center"/>
          </w:tcPr>
          <w:p>
            <w:pPr>
              <w:pStyle w:val="TableContents"/>
              <w:bidi w:val="0"/>
              <w:spacing w:before="0" w:after="283"/>
              <w:jc w:val="right"/>
              <w:rPr/>
            </w:pPr>
            <w:r>
              <w:rPr/>
              <w:t>890,000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w:t>
            </w:r>
          </w:p>
        </w:tc>
        <w:tc>
          <w:tcPr>
            <w:tcW w:w="1261" w:type="dxa"/>
            <w:tcBorders/>
            <w:shd w:fill="CCEEFF" w:val="clear"/>
            <w:tcMar>
              <w:bottom w:w="0" w:type="dxa"/>
            </w:tcMar>
            <w:vAlign w:val="center"/>
          </w:tcPr>
          <w:p>
            <w:pPr>
              <w:pStyle w:val="TableContents"/>
              <w:bidi w:val="0"/>
              <w:spacing w:before="0" w:after="283"/>
              <w:jc w:val="right"/>
              <w:rPr/>
            </w:pPr>
            <w:r>
              <w:rPr/>
              <w:t>890,000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1412" w:type="dxa"/>
            <w:tcBorders/>
            <w:shd w:fill="CCEEFF" w:val="clear"/>
            <w:tcMar>
              <w:bottom w:w="0" w:type="dxa"/>
            </w:tcMar>
            <w:vAlign w:val="center"/>
          </w:tcPr>
          <w:p>
            <w:pPr>
              <w:pStyle w:val="TableContents"/>
              <w:bidi w:val="0"/>
              <w:spacing w:before="0" w:after="283"/>
              <w:jc w:val="right"/>
              <w:rPr/>
            </w:pPr>
            <w:r>
              <w:rPr/>
              <w:t>     </w:t>
            </w:r>
            <w:r>
              <w:rPr/>
              <w:t>1,000,000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1473" w:type="dxa"/>
            <w:tcBorders/>
            <w:shd w:fill="CCEEFF" w:val="clear"/>
            <w:tcMar>
              <w:bottom w:w="0" w:type="dxa"/>
            </w:tcMar>
            <w:vAlign w:val="center"/>
          </w:tcPr>
          <w:p>
            <w:pPr>
              <w:pStyle w:val="TableContents"/>
              <w:bidi w:val="0"/>
              <w:spacing w:before="0" w:after="283"/>
              <w:jc w:val="right"/>
              <w:rPr/>
            </w:pPr>
            <w:r>
              <w:rPr/>
              <w:t>      </w:t>
            </w:r>
            <w:r>
              <w:rPr/>
              <w:t>1,000,000</w:t>
            </w:r>
          </w:p>
        </w:tc>
        <w:tc>
          <w:tcPr>
            <w:tcW w:w="141" w:type="dxa"/>
            <w:tcBorders/>
            <w:shd w:fill="CCEEFF" w:val="clear"/>
            <w:tcMar>
              <w:bottom w:w="0" w:type="dxa"/>
            </w:tcMar>
            <w:vAlign w:val="center"/>
          </w:tcPr>
          <w:p>
            <w:pPr>
              <w:pStyle w:val="TableContents"/>
              <w:bidi w:val="0"/>
              <w:spacing w:before="0" w:after="283"/>
              <w:jc w:val="left"/>
              <w:rPr/>
            </w:pPr>
            <w:r>
              <w:rPr/>
              <w:t> </w:t>
            </w:r>
          </w:p>
        </w:tc>
      </w:tr>
      <w:tr>
        <w:trPr/>
        <w:tc>
          <w:tcPr>
            <w:tcW w:w="3149" w:type="dxa"/>
            <w:tcBorders/>
            <w:tcMar>
              <w:bottom w:w="0" w:type="dxa"/>
            </w:tcMar>
            <w:vAlign w:val="center"/>
          </w:tcPr>
          <w:p>
            <w:pPr>
              <w:pStyle w:val="TableContents"/>
              <w:bidi w:val="0"/>
              <w:spacing w:before="0" w:after="283"/>
              <w:jc w:val="left"/>
              <w:rPr/>
            </w:pPr>
            <w:r>
              <w:rPr/>
              <w:t>Ellida McMillan, Chief Financial Officer</w:t>
            </w:r>
          </w:p>
        </w:tc>
        <w:tc>
          <w:tcPr>
            <w:tcW w:w="90" w:type="dxa"/>
            <w:tcBorders/>
            <w:tcMar>
              <w:bottom w:w="0" w:type="dxa"/>
            </w:tcMar>
            <w:vAlign w:val="center"/>
          </w:tcPr>
          <w:p>
            <w:pPr>
              <w:pStyle w:val="TableContents"/>
              <w:bidi w:val="0"/>
              <w:spacing w:before="0" w:after="283"/>
              <w:jc w:val="left"/>
              <w:rPr/>
            </w:pPr>
            <w:r>
              <w:rPr/>
              <w:t> </w:t>
            </w:r>
          </w:p>
        </w:tc>
        <w:tc>
          <w:tcPr>
            <w:tcW w:w="257" w:type="dxa"/>
            <w:tcBorders/>
            <w:tcMar>
              <w:bottom w:w="0" w:type="dxa"/>
            </w:tcMar>
            <w:vAlign w:val="center"/>
          </w:tcPr>
          <w:p>
            <w:pPr>
              <w:pStyle w:val="TableContents"/>
              <w:bidi w:val="0"/>
              <w:spacing w:before="0" w:after="283"/>
              <w:jc w:val="left"/>
              <w:rPr/>
            </w:pPr>
            <w:r>
              <w:rPr/>
              <w:t> </w:t>
            </w:r>
          </w:p>
        </w:tc>
        <w:tc>
          <w:tcPr>
            <w:tcW w:w="1261" w:type="dxa"/>
            <w:tcBorders/>
            <w:tcMar>
              <w:bottom w:w="0" w:type="dxa"/>
            </w:tcMar>
            <w:vAlign w:val="center"/>
          </w:tcPr>
          <w:p>
            <w:pPr>
              <w:pStyle w:val="TableContents"/>
              <w:bidi w:val="0"/>
              <w:spacing w:before="0" w:after="283"/>
              <w:jc w:val="right"/>
              <w:rPr/>
            </w:pPr>
            <w:r>
              <w:rPr/>
              <w:t>380,000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7" w:type="dxa"/>
            <w:tcBorders/>
            <w:tcMar>
              <w:bottom w:w="0" w:type="dxa"/>
            </w:tcMar>
            <w:vAlign w:val="center"/>
          </w:tcPr>
          <w:p>
            <w:pPr>
              <w:pStyle w:val="TableContents"/>
              <w:bidi w:val="0"/>
              <w:spacing w:before="0" w:after="283"/>
              <w:jc w:val="left"/>
              <w:rPr/>
            </w:pPr>
            <w:r>
              <w:rPr/>
              <w:t> </w:t>
            </w:r>
          </w:p>
        </w:tc>
        <w:tc>
          <w:tcPr>
            <w:tcW w:w="1261" w:type="dxa"/>
            <w:tcBorders/>
            <w:tcMar>
              <w:bottom w:w="0" w:type="dxa"/>
            </w:tcMar>
            <w:vAlign w:val="center"/>
          </w:tcPr>
          <w:p>
            <w:pPr>
              <w:pStyle w:val="TableContents"/>
              <w:bidi w:val="0"/>
              <w:spacing w:before="0" w:after="283"/>
              <w:jc w:val="right"/>
              <w:rPr/>
            </w:pPr>
            <w:r>
              <w:rPr/>
              <w:t>380,000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412" w:type="dxa"/>
            <w:tcBorders/>
            <w:tcMar>
              <w:bottom w:w="0" w:type="dxa"/>
            </w:tcMar>
            <w:vAlign w:val="center"/>
          </w:tcPr>
          <w:p>
            <w:pPr>
              <w:pStyle w:val="TableContents"/>
              <w:bidi w:val="0"/>
              <w:spacing w:before="0" w:after="283"/>
              <w:jc w:val="right"/>
              <w:rPr/>
            </w:pPr>
            <w:r>
              <w:rPr/>
              <w:t>425,000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473" w:type="dxa"/>
            <w:tcBorders/>
            <w:tcMar>
              <w:bottom w:w="0" w:type="dxa"/>
            </w:tcMar>
            <w:vAlign w:val="center"/>
          </w:tcPr>
          <w:p>
            <w:pPr>
              <w:pStyle w:val="TableContents"/>
              <w:bidi w:val="0"/>
              <w:spacing w:before="0" w:after="283"/>
              <w:jc w:val="right"/>
              <w:rPr/>
            </w:pPr>
            <w:r>
              <w:rPr/>
              <w:t>425,000</w:t>
            </w:r>
          </w:p>
        </w:tc>
        <w:tc>
          <w:tcPr>
            <w:tcW w:w="141"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June 30, 2026, the Company recorded an expense of $0 and $0, respectively, for these awards. During the three and nine months ended June 30, 2025, the Company recorded an expense of $275,342 and $905,510, respectively, for these awards.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and Investment Activity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our portfolio had a fair market value of approximately $301.6 million and $302.3 million,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we received proceeds from sale and settlements of investments of $47.9 million, including principal proceeds, net realized gains on investments of $0.0 million and invested $48.7 million.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we received proceeds from sale and settlements of investments of $90.8 million, including principal proceeds, net realized losses on investments of $(11.9) million and invested $159.5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amortized cost and the fair value of our average portfolio company (dollars in thousands):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92"/>
        <w:gridCol w:w="90"/>
        <w:gridCol w:w="251"/>
        <w:gridCol w:w="1404"/>
        <w:gridCol w:w="90"/>
        <w:gridCol w:w="90"/>
        <w:gridCol w:w="196"/>
        <w:gridCol w:w="821"/>
        <w:gridCol w:w="90"/>
        <w:gridCol w:w="90"/>
        <w:gridCol w:w="251"/>
        <w:gridCol w:w="1404"/>
        <w:gridCol w:w="90"/>
        <w:gridCol w:w="90"/>
        <w:gridCol w:w="196"/>
        <w:gridCol w:w="821"/>
        <w:gridCol w:w="139"/>
      </w:tblGrid>
      <w:tr>
        <w:trPr/>
        <w:tc>
          <w:tcPr>
            <w:tcW w:w="409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8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8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139" w:type="dxa"/>
            <w:tcBorders/>
            <w:vAlign w:val="center"/>
          </w:tcPr>
          <w:p>
            <w:pPr>
              <w:pStyle w:val="TableContents"/>
              <w:bidi w:val="0"/>
              <w:spacing w:before="0" w:after="283"/>
              <w:ind w:left="0" w:right="0" w:hanging="180"/>
              <w:jc w:val="center"/>
              <w:rPr/>
            </w:pPr>
            <w:r>
              <w:rPr/>
              <w:t> </w:t>
            </w:r>
          </w:p>
        </w:tc>
      </w:tr>
      <w:tr>
        <w:trPr/>
        <w:tc>
          <w:tcPr>
            <w:tcW w:w="40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39" w:type="dxa"/>
            <w:tcBorders/>
            <w:vAlign w:val="center"/>
          </w:tcPr>
          <w:p>
            <w:pPr>
              <w:pStyle w:val="TableContents"/>
              <w:bidi w:val="0"/>
              <w:spacing w:before="0" w:after="283"/>
              <w:ind w:left="0" w:right="0" w:hanging="180"/>
              <w:jc w:val="left"/>
              <w:rPr/>
            </w:pPr>
            <w:r>
              <w:rPr/>
              <w:t> </w:t>
            </w:r>
          </w:p>
        </w:tc>
      </w:tr>
      <w:tr>
        <w:trPr/>
        <w:tc>
          <w:tcPr>
            <w:tcW w:w="4092" w:type="dxa"/>
            <w:tcBorders/>
            <w:shd w:fill="CCEEFF" w:val="clear"/>
            <w:vAlign w:val="center"/>
          </w:tcPr>
          <w:p>
            <w:pPr>
              <w:pStyle w:val="TableContents"/>
              <w:bidi w:val="0"/>
              <w:spacing w:before="0" w:after="283"/>
              <w:jc w:val="left"/>
              <w:rPr/>
            </w:pPr>
            <w:r>
              <w:rPr/>
              <w:t>Average portfolio company</w:t>
            </w:r>
          </w:p>
        </w:tc>
        <w:tc>
          <w:tcPr>
            <w:tcW w:w="9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404" w:type="dxa"/>
            <w:tcBorders/>
            <w:shd w:fill="CCEEFF" w:val="clear"/>
            <w:vAlign w:val="center"/>
          </w:tcPr>
          <w:p>
            <w:pPr>
              <w:pStyle w:val="TableContents"/>
              <w:bidi w:val="0"/>
              <w:spacing w:before="0" w:after="283"/>
              <w:jc w:val="right"/>
              <w:rPr/>
            </w:pPr>
            <w:r>
              <w:rPr/>
              <w:t>    </w:t>
            </w:r>
            <w:r>
              <w:rPr/>
              <w:t>10,562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821" w:type="dxa"/>
            <w:tcBorders/>
            <w:shd w:fill="CCEEFF" w:val="clear"/>
            <w:vAlign w:val="center"/>
          </w:tcPr>
          <w:p>
            <w:pPr>
              <w:pStyle w:val="TableContents"/>
              <w:bidi w:val="0"/>
              <w:spacing w:before="0" w:after="283"/>
              <w:jc w:val="right"/>
              <w:rPr/>
            </w:pPr>
            <w:r>
              <w:rPr/>
              <w:t>9,730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404" w:type="dxa"/>
            <w:tcBorders/>
            <w:shd w:fill="CCEEFF" w:val="clear"/>
            <w:vAlign w:val="center"/>
          </w:tcPr>
          <w:p>
            <w:pPr>
              <w:pStyle w:val="TableContents"/>
              <w:bidi w:val="0"/>
              <w:spacing w:before="0" w:after="283"/>
              <w:jc w:val="right"/>
              <w:rPr/>
            </w:pPr>
            <w:r>
              <w:rPr/>
              <w:t>      </w:t>
            </w:r>
            <w:r>
              <w:rPr/>
              <w:t>9,011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821" w:type="dxa"/>
            <w:tcBorders/>
            <w:shd w:fill="CCEEFF" w:val="clear"/>
            <w:vAlign w:val="center"/>
          </w:tcPr>
          <w:p>
            <w:pPr>
              <w:pStyle w:val="TableContents"/>
              <w:bidi w:val="0"/>
              <w:spacing w:before="0" w:after="283"/>
              <w:jc w:val="right"/>
              <w:rPr/>
            </w:pPr>
            <w:r>
              <w:rPr/>
              <w:t>8,396</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4092" w:type="dxa"/>
            <w:tcBorders/>
            <w:vAlign w:val="center"/>
          </w:tcPr>
          <w:p>
            <w:pPr>
              <w:pStyle w:val="TableContents"/>
              <w:bidi w:val="0"/>
              <w:spacing w:before="0" w:after="283"/>
              <w:jc w:val="left"/>
              <w:rPr/>
            </w:pPr>
            <w:r>
              <w:rPr/>
              <w:t>Largest portfolio company by amortized cost and fair value, respectively</w:t>
            </w:r>
          </w:p>
        </w:tc>
        <w:tc>
          <w:tcPr>
            <w:tcW w:w="9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55,729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58,516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51,967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48,470</w:t>
            </w:r>
          </w:p>
        </w:tc>
        <w:tc>
          <w:tcPr>
            <w:tcW w:w="139"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amortized cost and the fair value of investments as of June 30, 2026 (dollars in thousands):</w:t>
      </w:r>
    </w:p>
    <w:p>
      <w:pPr>
        <w:pStyle w:val="TextBody"/>
        <w:bidi w:val="0"/>
        <w:spacing w:before="0" w:after="0"/>
        <w:jc w:val="both"/>
        <w:rPr>
          <w:caps w:val="false"/>
          <w:smallCaps w:val="false"/>
        </w:rPr>
      </w:pPr>
      <w:r>
        <w:rPr>
          <w:caps w:val="false"/>
          <w:smallCaps w:val="false"/>
        </w:rPr>
        <w:t> </w:t>
      </w:r>
    </w:p>
    <w:tbl>
      <w:tblPr>
        <w:tblW w:w="8449" w:type="dxa"/>
        <w:jc w:val="left"/>
        <w:tblInd w:w="0" w:type="dxa"/>
        <w:tblLayout w:type="fixed"/>
        <w:tblCellMar>
          <w:top w:w="0" w:type="dxa"/>
          <w:left w:w="0" w:type="dxa"/>
          <w:bottom w:w="0" w:type="dxa"/>
          <w:right w:w="0" w:type="dxa"/>
        </w:tblCellMar>
      </w:tblPr>
      <w:tblGrid>
        <w:gridCol w:w="3110"/>
        <w:gridCol w:w="90"/>
        <w:gridCol w:w="241"/>
        <w:gridCol w:w="1129"/>
        <w:gridCol w:w="90"/>
        <w:gridCol w:w="90"/>
        <w:gridCol w:w="148"/>
        <w:gridCol w:w="847"/>
        <w:gridCol w:w="215"/>
        <w:gridCol w:w="90"/>
        <w:gridCol w:w="169"/>
        <w:gridCol w:w="795"/>
        <w:gridCol w:w="90"/>
        <w:gridCol w:w="90"/>
        <w:gridCol w:w="148"/>
        <w:gridCol w:w="847"/>
        <w:gridCol w:w="260"/>
      </w:tblGrid>
      <w:tr>
        <w:trPr/>
        <w:tc>
          <w:tcPr>
            <w:tcW w:w="3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r>
          </w:p>
        </w:tc>
        <w:tc>
          <w:tcPr>
            <w:tcW w:w="26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133,882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119,447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Secured Notes</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c>
          <w:tcPr>
            <w:tcW w:w="26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 Investment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w:t>
            </w:r>
          </w:p>
        </w:tc>
        <w:tc>
          <w:tcPr>
            <w:tcW w:w="26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Equity/Warrants</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176,318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 w:type="dxa"/>
            <w:tcBorders>
              <w:bottom w:val="single" w:sz="12" w:space="0" w:color="000000"/>
            </w:tcBorders>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53.9</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164,666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 w:type="dxa"/>
            <w:tcBorders>
              <w:bottom w:val="single" w:sz="12" w:space="0" w:color="000000"/>
            </w:tcBorders>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54.6</w:t>
            </w:r>
          </w:p>
        </w:tc>
        <w:tc>
          <w:tcPr>
            <w:tcW w:w="26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Investments</w:t>
            </w:r>
          </w:p>
        </w:tc>
        <w:tc>
          <w:tcPr>
            <w:tcW w:w="9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2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327,414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6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301,637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amortized cost and the fair value of investments as of September 30, 2025 (dollars in thousands):</w:t>
      </w:r>
    </w:p>
    <w:p>
      <w:pPr>
        <w:pStyle w:val="TextBody"/>
        <w:bidi w:val="0"/>
        <w:spacing w:before="0" w:after="0"/>
        <w:jc w:val="both"/>
        <w:rPr>
          <w:caps w:val="false"/>
          <w:smallCaps w:val="false"/>
        </w:rPr>
      </w:pPr>
      <w:r>
        <w:rPr>
          <w:caps w:val="false"/>
          <w:smallCaps w:val="false"/>
        </w:rPr>
        <w:t> </w:t>
      </w:r>
    </w:p>
    <w:tbl>
      <w:tblPr>
        <w:tblW w:w="10104" w:type="dxa"/>
        <w:jc w:val="left"/>
        <w:tblInd w:w="0" w:type="dxa"/>
        <w:tblLayout w:type="fixed"/>
        <w:tblCellMar>
          <w:top w:w="0" w:type="dxa"/>
          <w:left w:w="0" w:type="dxa"/>
          <w:bottom w:w="0" w:type="dxa"/>
          <w:right w:w="0" w:type="dxa"/>
        </w:tblCellMar>
      </w:tblPr>
      <w:tblGrid>
        <w:gridCol w:w="3695"/>
        <w:gridCol w:w="90"/>
        <w:gridCol w:w="170"/>
        <w:gridCol w:w="1670"/>
        <w:gridCol w:w="90"/>
        <w:gridCol w:w="90"/>
        <w:gridCol w:w="155"/>
        <w:gridCol w:w="1020"/>
        <w:gridCol w:w="245"/>
        <w:gridCol w:w="90"/>
        <w:gridCol w:w="194"/>
        <w:gridCol w:w="950"/>
        <w:gridCol w:w="90"/>
        <w:gridCol w:w="90"/>
        <w:gridCol w:w="155"/>
        <w:gridCol w:w="1020"/>
        <w:gridCol w:w="290"/>
      </w:tblGrid>
      <w:tr>
        <w:trPr/>
        <w:tc>
          <w:tcPr>
            <w:tcW w:w="36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8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center"/>
              <w:rPr/>
            </w:pPr>
            <w:r>
              <w:rPr/>
              <w:t> </w:t>
            </w:r>
          </w:p>
        </w:tc>
      </w:tr>
      <w:tr>
        <w:trPr/>
        <w:tc>
          <w:tcPr>
            <w:tcW w:w="3695"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70" w:type="dxa"/>
            <w:tcBorders/>
            <w:shd w:fill="CCEEFF" w:val="clear"/>
            <w:vAlign w:val="center"/>
          </w:tcPr>
          <w:p>
            <w:pPr>
              <w:pStyle w:val="TableContents"/>
              <w:bidi w:val="0"/>
              <w:spacing w:before="0" w:after="283"/>
              <w:jc w:val="right"/>
              <w:rPr/>
            </w:pPr>
            <w:r>
              <w:rPr/>
              <w:t>              </w:t>
            </w:r>
            <w:r>
              <w:rPr/>
              <w:t>125,373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38.6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116,567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38.6</w:t>
            </w:r>
          </w:p>
        </w:tc>
        <w:tc>
          <w:tcPr>
            <w:tcW w:w="290" w:type="dxa"/>
            <w:tcBorders/>
            <w:shd w:fill="CCEEFF" w:val="clear"/>
            <w:vAlign w:val="center"/>
          </w:tcPr>
          <w:p>
            <w:pPr>
              <w:pStyle w:val="TableContents"/>
              <w:bidi w:val="0"/>
              <w:spacing w:before="0" w:after="283"/>
              <w:jc w:val="left"/>
              <w:rPr/>
            </w:pPr>
            <w:r>
              <w:rPr/>
              <w:t>%</w:t>
            </w:r>
          </w:p>
        </w:tc>
      </w:tr>
      <w:tr>
        <w:trPr/>
        <w:tc>
          <w:tcPr>
            <w:tcW w:w="3695" w:type="dxa"/>
            <w:tcBorders/>
            <w:vAlign w:val="center"/>
          </w:tcPr>
          <w:p>
            <w:pPr>
              <w:pStyle w:val="TableContents"/>
              <w:bidi w:val="0"/>
              <w:spacing w:before="0" w:after="283"/>
              <w:jc w:val="left"/>
              <w:rPr/>
            </w:pPr>
            <w:r>
              <w:rPr/>
              <w:t>Senior Secured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right"/>
              <w:rPr/>
            </w:pPr>
            <w:r>
              <w:rPr/>
              <w:t>17,039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5.3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17,457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5.8</w:t>
            </w:r>
          </w:p>
        </w:tc>
        <w:tc>
          <w:tcPr>
            <w:tcW w:w="29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Fund Investment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right"/>
              <w:rPr/>
            </w:pPr>
            <w:r>
              <w:rPr/>
              <w:t>2,194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0.7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2,227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0.7</w:t>
            </w:r>
          </w:p>
        </w:tc>
        <w:tc>
          <w:tcPr>
            <w:tcW w:w="29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670" w:type="dxa"/>
            <w:tcBorders>
              <w:bottom w:val="single" w:sz="12" w:space="0" w:color="000000"/>
            </w:tcBorders>
            <w:tcMar>
              <w:bottom w:w="28" w:type="dxa"/>
            </w:tcMar>
            <w:vAlign w:val="center"/>
          </w:tcPr>
          <w:p>
            <w:pPr>
              <w:pStyle w:val="TableContents"/>
              <w:bidi w:val="0"/>
              <w:spacing w:before="0" w:after="283"/>
              <w:jc w:val="right"/>
              <w:rPr/>
            </w:pPr>
            <w:r>
              <w:rPr/>
              <w:t>179,783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55.4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pPr>
            <w:r>
              <w:rPr/>
              <w:t>166,021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54.9</w:t>
            </w:r>
          </w:p>
        </w:tc>
        <w:tc>
          <w:tcPr>
            <w:tcW w:w="29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b/>
              </w:rPr>
            </w:pPr>
            <w:r>
              <w:rPr>
                <w:b/>
              </w:rPr>
              <w:t>Total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670" w:type="dxa"/>
            <w:tcBorders>
              <w:bottom w:val="double" w:sz="10"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324,389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100.0</w:t>
            </w:r>
          </w:p>
        </w:tc>
        <w:tc>
          <w:tcPr>
            <w:tcW w:w="24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302,272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100.0</w:t>
            </w:r>
          </w:p>
        </w:tc>
        <w:tc>
          <w:tcPr>
            <w:tcW w:w="29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income-bearing investment portfolio based upon cost represented 63.0% of our total portfolio of which 63.9% bore interest based on floating rates, such as SOFR, 8.3% bore interest at fixed rates, and 27.8% are income-producing equity investments. As of September 30, 2025, our income-bearing investment portfolio based upon cost represented 64.8% of our total portfolio of which 58.8% bore interest based on floating rates, such as SOFR, 14.9% bore interest at fixed rates, and 26.3% are income-producing equity investments. As of June 30, 2026, the Company had a weighted average yield of 13.2% on debt and other income producing investments. As of September 30, 2025, the Company had a weighted average yield of 12.8% on debt and other income producing investments. The weighted average yield of our total portfolio does not represent the total return to our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rate the risk profile of each of our investments based on the following categories: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0"/>
        <w:gridCol w:w="90"/>
        <w:gridCol w:w="9195"/>
      </w:tblGrid>
      <w:tr>
        <w:trPr/>
        <w:tc>
          <w:tcPr>
            <w:tcW w:w="920" w:type="dxa"/>
            <w:tcBorders>
              <w:bottom w:val="single" w:sz="12" w:space="0" w:color="000000"/>
            </w:tcBorders>
            <w:vAlign w:val="center"/>
          </w:tcPr>
          <w:p>
            <w:pPr>
              <w:pStyle w:val="TableContents"/>
              <w:bidi w:val="0"/>
              <w:spacing w:before="0" w:after="283"/>
              <w:jc w:val="left"/>
              <w:rPr>
                <w:b/>
              </w:rPr>
            </w:pPr>
            <w:r>
              <w:rPr>
                <w:b/>
              </w:rPr>
              <w:t>Credit Rating</w:t>
            </w:r>
          </w:p>
        </w:tc>
        <w:tc>
          <w:tcPr>
            <w:tcW w:w="90" w:type="dxa"/>
            <w:tcBorders/>
            <w:tcMar>
              <w:bottom w:w="0" w:type="dxa"/>
            </w:tcMar>
            <w:vAlign w:val="center"/>
          </w:tcPr>
          <w:p>
            <w:pPr>
              <w:pStyle w:val="TableContents"/>
              <w:bidi w:val="0"/>
              <w:spacing w:before="0" w:after="283"/>
              <w:jc w:val="center"/>
              <w:rPr/>
            </w:pPr>
            <w:r>
              <w:rPr/>
              <w:t> </w:t>
            </w:r>
          </w:p>
        </w:tc>
        <w:tc>
          <w:tcPr>
            <w:tcW w:w="9195" w:type="dxa"/>
            <w:tcBorders>
              <w:bottom w:val="single" w:sz="12" w:space="0" w:color="000000"/>
            </w:tcBorders>
            <w:vAlign w:val="center"/>
          </w:tcPr>
          <w:p>
            <w:pPr>
              <w:pStyle w:val="TableContents"/>
              <w:bidi w:val="0"/>
              <w:spacing w:before="0" w:after="283"/>
              <w:jc w:val="left"/>
              <w:rPr>
                <w:b/>
              </w:rPr>
            </w:pPr>
            <w:r>
              <w:rPr>
                <w:b/>
              </w:rPr>
              <w:t>Definition</w:t>
            </w:r>
          </w:p>
        </w:tc>
      </w:tr>
      <w:tr>
        <w:trPr/>
        <w:tc>
          <w:tcPr>
            <w:tcW w:w="920" w:type="dxa"/>
            <w:tcBorders/>
            <w:shd w:fill="CCEEFF" w:val="clear"/>
            <w:tcMar>
              <w:bottom w:w="0" w:type="dxa"/>
            </w:tcMar>
            <w:vAlign w:val="center"/>
          </w:tcPr>
          <w:p>
            <w:pPr>
              <w:pStyle w:val="TableContents"/>
              <w:bidi w:val="0"/>
              <w:spacing w:before="0" w:after="283"/>
              <w:jc w:val="left"/>
              <w:rPr/>
            </w:pPr>
            <w:r>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left"/>
              <w:rPr/>
            </w:pPr>
            <w:r>
              <w:rPr/>
              <w:t>Investments that are performing above expectations.</w:t>
            </w:r>
          </w:p>
        </w:tc>
      </w:tr>
      <w:tr>
        <w:trPr/>
        <w:tc>
          <w:tcPr>
            <w:tcW w:w="9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pPr>
            <w:r>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r>
              <w:rPr/>
              <w:t>Investments that are performing within expectations, with risks that are neutral or favorable compared to risks at the time of origination. All new investments are rated ‘2’.</w:t>
            </w:r>
          </w:p>
        </w:tc>
      </w:tr>
      <w:tr>
        <w:trPr/>
        <w:tc>
          <w:tcPr>
            <w:tcW w:w="9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pPr>
            <w:r>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r>
              <w:rPr/>
              <w:t>Investments that are performing below expectations and that require closer monitoring, but where no loss of interest, dividend or principal is expected. Companies rated ‘3’ may be out of compliance with financial covenants, however, loan payments are generally not past due.</w:t>
            </w:r>
          </w:p>
        </w:tc>
      </w:tr>
      <w:tr>
        <w:trPr/>
        <w:tc>
          <w:tcPr>
            <w:tcW w:w="9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pPr>
            <w:r>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r>
              <w:rPr/>
              <w:t>Investments that are performing below expectations and for which risk has increased materially since origination. Some loss of interest or dividend is expected but no loss of principal. In addition to the borrower being generally out of compliance with debt covenants, loan payments may be past due (but generally not more than 180 days past due).</w:t>
            </w:r>
          </w:p>
        </w:tc>
      </w:tr>
      <w:tr>
        <w:trPr/>
        <w:tc>
          <w:tcPr>
            <w:tcW w:w="9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pPr>
            <w:r>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r>
              <w:rPr/>
              <w:t>Investments that are performing substantially below expectations and whose risks have increased substantially since origination. Most or all of the debt covenants are out of compliance and payments are substantially delinquent. Some loss of principal is expected.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distribution of our investments on the 1 to 5 investment performance rating scale at fair value as of June 30, 2026 and September 30, 2025 (dollars in thousands):</w:t>
      </w:r>
    </w:p>
    <w:p>
      <w:pPr>
        <w:pStyle w:val="TextBody"/>
        <w:bidi w:val="0"/>
        <w:spacing w:before="0" w:after="0"/>
        <w:jc w:val="both"/>
        <w:rPr>
          <w:caps w:val="false"/>
          <w:smallCaps w:val="false"/>
        </w:rPr>
      </w:pPr>
      <w:r>
        <w:rPr>
          <w:caps w:val="false"/>
          <w:smallCaps w:val="false"/>
        </w:rPr>
        <w:t> </w:t>
      </w:r>
    </w:p>
    <w:tbl>
      <w:tblPr>
        <w:tblW w:w="6334" w:type="dxa"/>
        <w:jc w:val="left"/>
        <w:tblInd w:w="0" w:type="dxa"/>
        <w:tblLayout w:type="fixed"/>
        <w:tblCellMar>
          <w:top w:w="0" w:type="dxa"/>
          <w:left w:w="0" w:type="dxa"/>
          <w:bottom w:w="0" w:type="dxa"/>
          <w:right w:w="0" w:type="dxa"/>
        </w:tblCellMar>
      </w:tblPr>
      <w:tblGrid>
        <w:gridCol w:w="605"/>
        <w:gridCol w:w="90"/>
        <w:gridCol w:w="194"/>
        <w:gridCol w:w="950"/>
        <w:gridCol w:w="90"/>
        <w:gridCol w:w="90"/>
        <w:gridCol w:w="155"/>
        <w:gridCol w:w="1020"/>
        <w:gridCol w:w="245"/>
        <w:gridCol w:w="90"/>
        <w:gridCol w:w="193"/>
        <w:gridCol w:w="951"/>
        <w:gridCol w:w="98"/>
        <w:gridCol w:w="98"/>
        <w:gridCol w:w="155"/>
        <w:gridCol w:w="1020"/>
        <w:gridCol w:w="290"/>
      </w:tblGrid>
      <w:tr>
        <w:trPr/>
        <w:tc>
          <w:tcPr>
            <w:tcW w:w="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290"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605" w:type="dxa"/>
            <w:tcBorders/>
            <w:shd w:fill="CCEEFF" w:val="clear"/>
            <w:vAlign w:val="center"/>
          </w:tcPr>
          <w:p>
            <w:pPr>
              <w:pStyle w:val="TableContents"/>
              <w:bidi w:val="0"/>
              <w:spacing w:before="0" w:after="283"/>
              <w:jc w:val="left"/>
              <w:rPr/>
            </w:pPr>
            <w:r>
              <w:rPr/>
              <w:t>1</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w:t>
            </w:r>
          </w:p>
        </w:tc>
      </w:tr>
      <w:tr>
        <w:trPr/>
        <w:tc>
          <w:tcPr>
            <w:tcW w:w="605" w:type="dxa"/>
            <w:tcBorders/>
            <w:vAlign w:val="center"/>
          </w:tcPr>
          <w:p>
            <w:pPr>
              <w:pStyle w:val="TableContents"/>
              <w:bidi w:val="0"/>
              <w:spacing w:before="0" w:after="283"/>
              <w:jc w:val="left"/>
              <w:rPr/>
            </w:pPr>
            <w:r>
              <w:rPr/>
              <w:t>2</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276,265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91.6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276,582</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91.5</w:t>
            </w:r>
          </w:p>
        </w:tc>
        <w:tc>
          <w:tcPr>
            <w:tcW w:w="290" w:type="dxa"/>
            <w:tcBorders/>
            <w:vAlign w:val="center"/>
          </w:tcPr>
          <w:p>
            <w:pPr>
              <w:pStyle w:val="TableContents"/>
              <w:bidi w:val="0"/>
              <w:spacing w:before="0" w:after="283"/>
              <w:jc w:val="left"/>
              <w:rPr/>
            </w:pPr>
            <w:r>
              <w:rPr/>
              <w:t> </w:t>
            </w:r>
          </w:p>
        </w:tc>
      </w:tr>
      <w:tr>
        <w:trPr/>
        <w:tc>
          <w:tcPr>
            <w:tcW w:w="605" w:type="dxa"/>
            <w:tcBorders/>
            <w:shd w:fill="CCEEFF" w:val="clear"/>
            <w:vAlign w:val="center"/>
          </w:tcPr>
          <w:p>
            <w:pPr>
              <w:pStyle w:val="TableContents"/>
              <w:bidi w:val="0"/>
              <w:spacing w:before="0" w:after="283"/>
              <w:jc w:val="left"/>
              <w:rPr/>
            </w:pPr>
            <w:r>
              <w:rPr/>
              <w:t>3</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25,372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8.4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25,690</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8.5</w:t>
            </w:r>
          </w:p>
        </w:tc>
        <w:tc>
          <w:tcPr>
            <w:tcW w:w="290" w:type="dxa"/>
            <w:tcBorders/>
            <w:shd w:fill="CCEEFF" w:val="cle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4</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605" w:type="dxa"/>
            <w:tcBorders/>
            <w:shd w:fill="CCEEFF" w:val="clear"/>
            <w:vAlign w:val="center"/>
          </w:tcPr>
          <w:p>
            <w:pPr>
              <w:pStyle w:val="TableContents"/>
              <w:bidi w:val="0"/>
              <w:spacing w:before="0" w:after="283"/>
              <w:jc w:val="left"/>
              <w:rPr/>
            </w:pPr>
            <w:r>
              <w:rPr/>
              <w:t>5</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tcMar>
              <w:bottom w:w="28" w:type="dxa"/>
            </w:tcMar>
            <w:vAlign w:val="center"/>
          </w:tcPr>
          <w:p>
            <w:pPr>
              <w:pStyle w:val="TableContents"/>
              <w:bidi w:val="0"/>
              <w:spacing w:before="0" w:after="283"/>
              <w:jc w:val="right"/>
              <w:rPr/>
            </w:pPr>
            <w:r>
              <w:rPr/>
              <w:t>301,637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tcMar>
              <w:bottom w:w="28" w:type="dxa"/>
            </w:tcMar>
            <w:vAlign w:val="center"/>
          </w:tcPr>
          <w:p>
            <w:pPr>
              <w:pStyle w:val="TableContents"/>
              <w:bidi w:val="0"/>
              <w:spacing w:before="0" w:after="283"/>
              <w:jc w:val="right"/>
              <w:rPr/>
            </w:pPr>
            <w:r>
              <w:rPr/>
              <w:t>100.0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bottom w:val="double" w:sz="10" w:space="0" w:color="000000"/>
            </w:tcBorders>
            <w:tcMar>
              <w:bottom w:w="28" w:type="dxa"/>
            </w:tcMar>
            <w:vAlign w:val="center"/>
          </w:tcPr>
          <w:p>
            <w:pPr>
              <w:pStyle w:val="TableContents"/>
              <w:bidi w:val="0"/>
              <w:spacing w:before="0" w:after="283"/>
              <w:jc w:val="left"/>
              <w:rPr/>
            </w:pPr>
            <w:r>
              <w:rPr/>
              <w:t>$</w:t>
            </w:r>
          </w:p>
        </w:tc>
        <w:tc>
          <w:tcPr>
            <w:tcW w:w="951" w:type="dxa"/>
            <w:tcBorders>
              <w:bottom w:val="double" w:sz="10" w:space="0" w:color="000000"/>
            </w:tcBorders>
            <w:tcMar>
              <w:bottom w:w="28" w:type="dxa"/>
            </w:tcMar>
            <w:vAlign w:val="center"/>
          </w:tcPr>
          <w:p>
            <w:pPr>
              <w:pStyle w:val="TableContents"/>
              <w:bidi w:val="0"/>
              <w:spacing w:before="0" w:after="283"/>
              <w:jc w:val="right"/>
              <w:rPr/>
            </w:pPr>
            <w:r>
              <w:rPr/>
              <w:t>302,272</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tcMar>
              <w:bottom w:w="28" w:type="dxa"/>
            </w:tcMar>
            <w:vAlign w:val="center"/>
          </w:tcPr>
          <w:p>
            <w:pPr>
              <w:pStyle w:val="TableContents"/>
              <w:bidi w:val="0"/>
              <w:spacing w:before="0" w:after="283"/>
              <w:jc w:val="right"/>
              <w:rPr/>
            </w:pPr>
            <w:r>
              <w:rPr/>
              <w:t>100.0</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results for three and nine months ended June 30, 2026 and 2025 are as follows (dollars in thousands):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56"/>
        <w:gridCol w:w="90"/>
        <w:gridCol w:w="270"/>
        <w:gridCol w:w="940"/>
        <w:gridCol w:w="198"/>
        <w:gridCol w:w="142"/>
        <w:gridCol w:w="270"/>
        <w:gridCol w:w="1254"/>
        <w:gridCol w:w="125"/>
        <w:gridCol w:w="90"/>
        <w:gridCol w:w="241"/>
        <w:gridCol w:w="1009"/>
        <w:gridCol w:w="177"/>
        <w:gridCol w:w="127"/>
        <w:gridCol w:w="241"/>
        <w:gridCol w:w="1120"/>
        <w:gridCol w:w="155"/>
      </w:tblGrid>
      <w:tr>
        <w:trPr/>
        <w:tc>
          <w:tcPr>
            <w:tcW w:w="375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07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June 30,</w:t>
            </w:r>
          </w:p>
        </w:tc>
        <w:tc>
          <w:tcPr>
            <w:tcW w:w="155" w:type="dxa"/>
            <w:tcBorders/>
            <w:vAlign w:val="center"/>
          </w:tcPr>
          <w:p>
            <w:pPr>
              <w:pStyle w:val="TableContents"/>
              <w:bidi w:val="0"/>
              <w:spacing w:before="0" w:after="283"/>
              <w:jc w:val="left"/>
              <w:rPr/>
            </w:pPr>
            <w:r>
              <w:rPr/>
              <w:t> </w:t>
            </w:r>
          </w:p>
        </w:tc>
      </w:tr>
      <w:tr>
        <w:trPr/>
        <w:tc>
          <w:tcPr>
            <w:tcW w:w="375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98"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5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7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ind w:left="0" w:right="0" w:hanging="180"/>
              <w:jc w:val="left"/>
              <w:rPr/>
            </w:pPr>
            <w:r>
              <w:rPr/>
              <w:t> </w:t>
            </w:r>
          </w:p>
        </w:tc>
      </w:tr>
      <w:tr>
        <w:trPr/>
        <w:tc>
          <w:tcPr>
            <w:tcW w:w="3756" w:type="dxa"/>
            <w:tcBorders/>
            <w:shd w:fill="CCEEFF" w:val="clear"/>
            <w:vAlign w:val="center"/>
          </w:tcPr>
          <w:p>
            <w:pPr>
              <w:pStyle w:val="TableContents"/>
              <w:bidi w:val="0"/>
              <w:spacing w:before="0" w:after="283"/>
              <w:jc w:val="left"/>
              <w:rPr/>
            </w:pPr>
            <w:r>
              <w:rPr/>
              <w:t>Total investment income</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6,451</w:t>
            </w:r>
          </w:p>
        </w:tc>
        <w:tc>
          <w:tcPr>
            <w:tcW w:w="19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r>
              <w:rPr/>
              <w:t>6,157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18,309</w:t>
            </w:r>
          </w:p>
        </w:tc>
        <w:tc>
          <w:tcPr>
            <w:tcW w:w="17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20" w:type="dxa"/>
            <w:tcBorders/>
            <w:shd w:fill="CCEEFF" w:val="clear"/>
            <w:vAlign w:val="center"/>
          </w:tcPr>
          <w:p>
            <w:pPr>
              <w:pStyle w:val="TableContents"/>
              <w:bidi w:val="0"/>
              <w:spacing w:before="0" w:after="283"/>
              <w:jc w:val="right"/>
              <w:rPr/>
            </w:pPr>
            <w:r>
              <w:rPr/>
              <w:t>18,392</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756" w:type="dxa"/>
            <w:tcBorders/>
            <w:vAlign w:val="center"/>
          </w:tcPr>
          <w:p>
            <w:pPr>
              <w:pStyle w:val="TableContents"/>
              <w:bidi w:val="0"/>
              <w:spacing w:before="0" w:after="283"/>
              <w:jc w:val="left"/>
              <w:rPr/>
            </w:pPr>
            <w:r>
              <w:rPr/>
              <w:t>Less: Net expenses</w:t>
            </w:r>
          </w:p>
        </w:tc>
        <w:tc>
          <w:tcPr>
            <w:tcW w:w="90" w:type="dxa"/>
            <w:tcBorders/>
            <w:vAlign w:val="center"/>
          </w:tcPr>
          <w:p>
            <w:pPr>
              <w:pStyle w:val="TableContents"/>
              <w:bidi w:val="0"/>
              <w:spacing w:before="0" w:after="283"/>
              <w:jc w:val="left"/>
              <w:rPr/>
            </w:pPr>
            <w:r>
              <w:rPr/>
              <w:t> </w:t>
            </w:r>
          </w:p>
        </w:tc>
        <w:tc>
          <w:tcPr>
            <w:tcW w:w="2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tcMar>
              <w:bottom w:w="28" w:type="dxa"/>
            </w:tcMar>
            <w:vAlign w:val="center"/>
          </w:tcPr>
          <w:p>
            <w:pPr>
              <w:pStyle w:val="TableContents"/>
              <w:bidi w:val="0"/>
              <w:spacing w:before="0" w:after="283"/>
              <w:jc w:val="right"/>
              <w:rPr/>
            </w:pPr>
            <w:r>
              <w:rPr/>
              <w:t>4,376</w:t>
            </w:r>
          </w:p>
        </w:tc>
        <w:tc>
          <w:tcPr>
            <w:tcW w:w="198"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2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4" w:type="dxa"/>
            <w:tcBorders>
              <w:bottom w:val="single" w:sz="12" w:space="0" w:color="000000"/>
            </w:tcBorders>
            <w:tcMar>
              <w:bottom w:w="28" w:type="dxa"/>
            </w:tcMar>
            <w:vAlign w:val="center"/>
          </w:tcPr>
          <w:p>
            <w:pPr>
              <w:pStyle w:val="TableContents"/>
              <w:bidi w:val="0"/>
              <w:spacing w:before="0" w:after="283"/>
              <w:jc w:val="right"/>
              <w:rPr/>
            </w:pPr>
            <w:r>
              <w:rPr/>
              <w:t>4,999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tcMar>
              <w:bottom w:w="28" w:type="dxa"/>
            </w:tcMar>
            <w:vAlign w:val="center"/>
          </w:tcPr>
          <w:p>
            <w:pPr>
              <w:pStyle w:val="TableContents"/>
              <w:bidi w:val="0"/>
              <w:spacing w:before="0" w:after="283"/>
              <w:jc w:val="right"/>
              <w:rPr/>
            </w:pPr>
            <w:r>
              <w:rPr/>
              <w:t>13,360</w:t>
            </w:r>
          </w:p>
        </w:tc>
        <w:tc>
          <w:tcPr>
            <w:tcW w:w="17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tcMar>
              <w:bottom w:w="28" w:type="dxa"/>
            </w:tcMar>
            <w:vAlign w:val="center"/>
          </w:tcPr>
          <w:p>
            <w:pPr>
              <w:pStyle w:val="TableContents"/>
              <w:bidi w:val="0"/>
              <w:spacing w:before="0" w:after="283"/>
              <w:jc w:val="right"/>
              <w:rPr/>
            </w:pPr>
            <w:r>
              <w:rPr/>
              <w:t>14,644</w:t>
            </w:r>
          </w:p>
        </w:tc>
        <w:tc>
          <w:tcPr>
            <w:tcW w:w="155" w:type="dxa"/>
            <w:tcBorders/>
            <w:vAlign w:val="center"/>
          </w:tcPr>
          <w:p>
            <w:pPr>
              <w:pStyle w:val="TableContents"/>
              <w:bidi w:val="0"/>
              <w:spacing w:before="0" w:after="283"/>
              <w:ind w:left="0" w:right="0" w:hanging="180"/>
              <w:jc w:val="left"/>
              <w:rPr/>
            </w:pPr>
            <w:r>
              <w:rPr/>
              <w:t> </w:t>
            </w:r>
          </w:p>
        </w:tc>
      </w:tr>
      <w:tr>
        <w:trPr/>
        <w:tc>
          <w:tcPr>
            <w:tcW w:w="3756" w:type="dxa"/>
            <w:tcBorders/>
            <w:shd w:fill="CCEEFF" w:val="clear"/>
            <w:vAlign w:val="center"/>
          </w:tcPr>
          <w:p>
            <w:pPr>
              <w:pStyle w:val="TableContents"/>
              <w:bidi w:val="0"/>
              <w:spacing w:before="0" w:after="283"/>
              <w:jc w:val="left"/>
              <w:rPr/>
            </w:pPr>
            <w:r>
              <w:rPr/>
              <w:t>Net investment income/(loss)</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2,075</w:t>
            </w:r>
          </w:p>
        </w:tc>
        <w:tc>
          <w:tcPr>
            <w:tcW w:w="19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1,158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4,949</w:t>
            </w:r>
          </w:p>
        </w:tc>
        <w:tc>
          <w:tcPr>
            <w:tcW w:w="17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3,748</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756" w:type="dxa"/>
            <w:tcBorders/>
            <w:vAlign w:val="center"/>
          </w:tcPr>
          <w:p>
            <w:pPr>
              <w:pStyle w:val="TableContents"/>
              <w:bidi w:val="0"/>
              <w:spacing w:before="0" w:after="283"/>
              <w:jc w:val="left"/>
              <w:rPr/>
            </w:pPr>
            <w:r>
              <w:rPr/>
              <w:t>Net realized gains (losses) on investments</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411</w:t>
            </w:r>
          </w:p>
        </w:tc>
        <w:tc>
          <w:tcPr>
            <w:tcW w:w="198"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(11,986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(14</w:t>
            </w:r>
          </w:p>
        </w:tc>
        <w:tc>
          <w:tcPr>
            <w:tcW w:w="17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right"/>
              <w:rPr/>
            </w:pPr>
            <w:r>
              <w:rPr/>
              <w:t>(11,882</w:t>
            </w:r>
          </w:p>
        </w:tc>
        <w:tc>
          <w:tcPr>
            <w:tcW w:w="155" w:type="dxa"/>
            <w:tcBorders/>
            <w:vAlign w:val="center"/>
          </w:tcPr>
          <w:p>
            <w:pPr>
              <w:pStyle w:val="TableContents"/>
              <w:bidi w:val="0"/>
              <w:spacing w:before="0" w:after="283"/>
              <w:ind w:left="0" w:right="0" w:hanging="180"/>
              <w:jc w:val="left"/>
              <w:rPr/>
            </w:pPr>
            <w:r>
              <w:rPr/>
              <w:t>)</w:t>
            </w:r>
          </w:p>
        </w:tc>
      </w:tr>
      <w:tr>
        <w:trPr/>
        <w:tc>
          <w:tcPr>
            <w:tcW w:w="3756" w:type="dxa"/>
            <w:tcBorders/>
            <w:shd w:fill="CCEEFF" w:val="clear"/>
            <w:vAlign w:val="center"/>
          </w:tcPr>
          <w:p>
            <w:pPr>
              <w:pStyle w:val="TableContents"/>
              <w:bidi w:val="0"/>
              <w:spacing w:before="0" w:after="283"/>
              <w:jc w:val="left"/>
              <w:rPr/>
            </w:pPr>
            <w:r>
              <w:rPr/>
              <w:t>Net change in unrealized gains (losses) on investments</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1,825</w:t>
            </w:r>
          </w:p>
        </w:tc>
        <w:tc>
          <w:tcPr>
            <w:tcW w:w="19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9,275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(3,660</w:t>
            </w:r>
          </w:p>
        </w:tc>
        <w:tc>
          <w:tcPr>
            <w:tcW w:w="177" w:type="dxa"/>
            <w:tcBorders/>
            <w:shd w:fill="CCEEFF" w:val="clear"/>
            <w:vAlign w:val="center"/>
          </w:tcPr>
          <w:p>
            <w:pPr>
              <w:pStyle w:val="TableContents"/>
              <w:bidi w:val="0"/>
              <w:spacing w:before="0" w:after="283"/>
              <w:jc w:val="left"/>
              <w:rPr/>
            </w:pPr>
            <w:r>
              <w:rPr/>
              <w:t>)</w:t>
            </w:r>
          </w:p>
        </w:tc>
        <w:tc>
          <w:tcPr>
            <w:tcW w:w="12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8,478</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756" w:type="dxa"/>
            <w:tcBorders/>
            <w:vAlign w:val="center"/>
          </w:tcPr>
          <w:p>
            <w:pPr>
              <w:pStyle w:val="TableContents"/>
              <w:bidi w:val="0"/>
              <w:spacing w:before="0" w:after="283"/>
              <w:jc w:val="left"/>
              <w:rPr/>
            </w:pPr>
            <w:r>
              <w:rPr/>
              <w:t>Deferred tax benefit (expense)</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(87</w:t>
            </w:r>
          </w:p>
        </w:tc>
        <w:tc>
          <w:tcPr>
            <w:tcW w:w="198"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(676</w:t>
            </w:r>
          </w:p>
        </w:tc>
        <w:tc>
          <w:tcPr>
            <w:tcW w:w="17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right"/>
              <w:rPr/>
            </w:pPr>
            <w:r>
              <w:rPr/>
              <w:t>(273</w:t>
            </w:r>
          </w:p>
        </w:tc>
        <w:tc>
          <w:tcPr>
            <w:tcW w:w="155" w:type="dxa"/>
            <w:tcBorders/>
            <w:vAlign w:val="center"/>
          </w:tcPr>
          <w:p>
            <w:pPr>
              <w:pStyle w:val="TableContents"/>
              <w:bidi w:val="0"/>
              <w:spacing w:before="0" w:after="283"/>
              <w:ind w:left="0" w:right="0" w:hanging="180"/>
              <w:jc w:val="left"/>
              <w:rPr/>
            </w:pPr>
            <w:r>
              <w:rPr/>
              <w:t>)</w:t>
            </w:r>
          </w:p>
        </w:tc>
      </w:tr>
      <w:tr>
        <w:trPr/>
        <w:tc>
          <w:tcPr>
            <w:tcW w:w="3756" w:type="dxa"/>
            <w:tcBorders/>
            <w:shd w:fill="CCEEFF" w:val="clear"/>
            <w:vAlign w:val="center"/>
          </w:tcPr>
          <w:p>
            <w:pPr>
              <w:pStyle w:val="TableContents"/>
              <w:bidi w:val="0"/>
              <w:spacing w:before="0" w:after="283"/>
              <w:jc w:val="left"/>
              <w:rPr/>
            </w:pPr>
            <w:r>
              <w:rPr/>
              <w:t>Loss on extinguishment of debt (See Note 5)</w:t>
            </w:r>
          </w:p>
        </w:tc>
        <w:tc>
          <w:tcPr>
            <w:tcW w:w="90" w:type="dxa"/>
            <w:tcBorders/>
            <w:shd w:fill="CCEEFF" w:val="clear"/>
            <w:vAlign w:val="center"/>
          </w:tcPr>
          <w:p>
            <w:pPr>
              <w:pStyle w:val="TableContents"/>
              <w:bidi w:val="0"/>
              <w:spacing w:before="0" w:after="283"/>
              <w:jc w:val="left"/>
              <w:rPr/>
            </w:pPr>
            <w:r>
              <w:rPr/>
              <w:t> </w:t>
            </w:r>
          </w:p>
        </w:tc>
        <w:tc>
          <w:tcPr>
            <w:tcW w:w="2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9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177" w:type="dxa"/>
            <w:tcBorders/>
            <w:shd w:fill="CCEEFF" w:val="clear"/>
            <w:vAlign w:val="center"/>
          </w:tcPr>
          <w:p>
            <w:pPr>
              <w:pStyle w:val="TableContents"/>
              <w:bidi w:val="0"/>
              <w:spacing w:before="0" w:after="283"/>
              <w:jc w:val="left"/>
              <w:rPr/>
            </w:pPr>
            <w:r>
              <w:rPr/>
              <w:t>)</w:t>
            </w:r>
          </w:p>
        </w:tc>
        <w:tc>
          <w:tcPr>
            <w:tcW w:w="127"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756" w:type="dxa"/>
            <w:tcBorders/>
            <w:vAlign w:val="center"/>
          </w:tcPr>
          <w:p>
            <w:pPr>
              <w:pStyle w:val="TableContents"/>
              <w:bidi w:val="0"/>
              <w:spacing w:before="0" w:after="283"/>
              <w:jc w:val="left"/>
              <w:rPr>
                <w:b/>
              </w:rPr>
            </w:pPr>
            <w:r>
              <w:rPr>
                <w:b/>
              </w:rPr>
              <w:t>Net increase (decrease) in net assets resulting from operations</w:t>
            </w:r>
          </w:p>
        </w:tc>
        <w:tc>
          <w:tcPr>
            <w:tcW w:w="90" w:type="dxa"/>
            <w:tcBorders/>
            <w:vAlign w:val="center"/>
          </w:tcPr>
          <w:p>
            <w:pPr>
              <w:pStyle w:val="TableContents"/>
              <w:bidi w:val="0"/>
              <w:spacing w:before="0" w:after="283"/>
              <w:jc w:val="left"/>
              <w:rPr/>
            </w:pPr>
            <w:r>
              <w:rPr/>
              <w:t> </w:t>
            </w:r>
          </w:p>
        </w:tc>
        <w:tc>
          <w:tcPr>
            <w:tcW w:w="270" w:type="dxa"/>
            <w:tcBorders>
              <w:bottom w:val="double" w:sz="10" w:space="0" w:color="000000"/>
            </w:tcBorders>
            <w:tcMar>
              <w:bottom w:w="28" w:type="dxa"/>
            </w:tcMar>
            <w:vAlign w:val="center"/>
          </w:tcPr>
          <w:p>
            <w:pPr>
              <w:pStyle w:val="TableContents"/>
              <w:bidi w:val="0"/>
              <w:spacing w:before="0" w:after="283"/>
              <w:jc w:val="left"/>
              <w:rPr/>
            </w:pPr>
            <w:r>
              <w:rPr/>
              <w:t>$</w:t>
            </w:r>
          </w:p>
        </w:tc>
        <w:tc>
          <w:tcPr>
            <w:tcW w:w="940" w:type="dxa"/>
            <w:tcBorders>
              <w:bottom w:val="double" w:sz="10" w:space="0" w:color="000000"/>
            </w:tcBorders>
            <w:tcMar>
              <w:bottom w:w="28" w:type="dxa"/>
            </w:tcMar>
            <w:vAlign w:val="center"/>
          </w:tcPr>
          <w:p>
            <w:pPr>
              <w:pStyle w:val="TableContents"/>
              <w:bidi w:val="0"/>
              <w:spacing w:before="0" w:after="283"/>
              <w:jc w:val="right"/>
              <w:rPr/>
            </w:pPr>
            <w:r>
              <w:rPr/>
              <w:t>4,224</w:t>
            </w:r>
          </w:p>
        </w:tc>
        <w:tc>
          <w:tcPr>
            <w:tcW w:w="198"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2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4" w:type="dxa"/>
            <w:tcBorders>
              <w:bottom w:val="double" w:sz="10" w:space="0" w:color="000000"/>
            </w:tcBorders>
            <w:tcMar>
              <w:bottom w:w="28" w:type="dxa"/>
            </w:tcMar>
            <w:vAlign w:val="center"/>
          </w:tcPr>
          <w:p>
            <w:pPr>
              <w:pStyle w:val="TableContents"/>
              <w:bidi w:val="0"/>
              <w:spacing w:before="0" w:after="283"/>
              <w:jc w:val="right"/>
              <w:rPr/>
            </w:pPr>
            <w:r>
              <w:rPr/>
              <w:t>(1,497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bottom w:val="double" w:sz="10" w:space="0" w:color="000000"/>
            </w:tcBorders>
            <w:tcMar>
              <w:bottom w:w="28" w:type="dxa"/>
            </w:tcMar>
            <w:vAlign w:val="center"/>
          </w:tcPr>
          <w:p>
            <w:pPr>
              <w:pStyle w:val="TableContents"/>
              <w:bidi w:val="0"/>
              <w:spacing w:before="0" w:after="283"/>
              <w:jc w:val="left"/>
              <w:rPr/>
            </w:pPr>
            <w:r>
              <w:rPr/>
              <w:t>$</w:t>
            </w:r>
          </w:p>
        </w:tc>
        <w:tc>
          <w:tcPr>
            <w:tcW w:w="1009" w:type="dxa"/>
            <w:tcBorders>
              <w:bottom w:val="double" w:sz="10" w:space="0" w:color="000000"/>
            </w:tcBorders>
            <w:tcMar>
              <w:bottom w:w="28" w:type="dxa"/>
            </w:tcMar>
            <w:vAlign w:val="center"/>
          </w:tcPr>
          <w:p>
            <w:pPr>
              <w:pStyle w:val="TableContents"/>
              <w:bidi w:val="0"/>
              <w:spacing w:before="0" w:after="283"/>
              <w:jc w:val="right"/>
              <w:rPr/>
            </w:pPr>
            <w:r>
              <w:rPr/>
              <w:t>587</w:t>
            </w:r>
          </w:p>
        </w:tc>
        <w:tc>
          <w:tcPr>
            <w:tcW w:w="17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bottom w:val="double" w:sz="10" w:space="0" w:color="000000"/>
            </w:tcBorders>
            <w:tcMar>
              <w:bottom w:w="28" w:type="dxa"/>
            </w:tcMar>
            <w:vAlign w:val="center"/>
          </w:tcPr>
          <w:p>
            <w:pPr>
              <w:pStyle w:val="TableContents"/>
              <w:bidi w:val="0"/>
              <w:spacing w:before="0" w:after="283"/>
              <w:jc w:val="left"/>
              <w:rPr/>
            </w:pPr>
            <w:r>
              <w:rPr/>
              <w:t>$</w:t>
            </w:r>
          </w:p>
        </w:tc>
        <w:tc>
          <w:tcPr>
            <w:tcW w:w="1120" w:type="dxa"/>
            <w:tcBorders>
              <w:bottom w:val="double" w:sz="10" w:space="0" w:color="000000"/>
            </w:tcBorders>
            <w:tcMar>
              <w:bottom w:w="28" w:type="dxa"/>
            </w:tcMar>
            <w:vAlign w:val="center"/>
          </w:tcPr>
          <w:p>
            <w:pPr>
              <w:pStyle w:val="TableContents"/>
              <w:bidi w:val="0"/>
              <w:spacing w:before="0" w:after="283"/>
              <w:jc w:val="right"/>
              <w:rPr/>
            </w:pPr>
            <w:r>
              <w:rPr/>
              <w:t>71</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investment income totaled $6.5 million, of which $4.4 million was attributable to portfolio interest, approximately $1.8 million was attributable to dividend income, $0.3 million was attributable to fee and other income, and $0.0 million was attributable to interest on cash and cash equivalents. For the nine months ended June 30, 2026, investment income totaled $18.3 million, of which $12.4 million was attributable to portfolio interest, approximately $5.2 million was attributable to dividend income, $0.6 million was attributable to fee and other income, and $0.1 million was attributable to interest on cash and cash equivalents. Dividend income was received from nine investments during the nine months ended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investment income totaled $6.2 million, of which $4.6 million was attributable to portfolio interest, approximately $0.9 million was attributable to dividend income, $0.7 million was attributable to fee and other income, and $27.8 thousand was attributable to interest on cash and cash equivalents. For the nine months ended June 30, 2025, investment income totaled $18.4 million, of which $12.4 million was attributable to portfolio interest, approximately $5.1 million was attributable to dividend income, $0.8 million was attributable to fee and other income, and $0.1 million was attributable to interest on cash and cash equivalents. Dividend income was received from seven investments during the nine months ended June 30,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three and nine months ended June 30, 2026 and 2025 are as follows (dollars in thousands):</w:t>
      </w:r>
    </w:p>
    <w:p>
      <w:pPr>
        <w:pStyle w:val="TextBody"/>
        <w:bidi w:val="0"/>
        <w:spacing w:before="0" w:after="0"/>
        <w:jc w:val="both"/>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3020"/>
        <w:gridCol w:w="90"/>
        <w:gridCol w:w="305"/>
        <w:gridCol w:w="1058"/>
        <w:gridCol w:w="161"/>
        <w:gridCol w:w="161"/>
        <w:gridCol w:w="305"/>
        <w:gridCol w:w="1058"/>
        <w:gridCol w:w="90"/>
        <w:gridCol w:w="90"/>
        <w:gridCol w:w="260"/>
        <w:gridCol w:w="1088"/>
        <w:gridCol w:w="138"/>
        <w:gridCol w:w="138"/>
        <w:gridCol w:w="260"/>
        <w:gridCol w:w="1088"/>
        <w:gridCol w:w="135"/>
      </w:tblGrid>
      <w:tr>
        <w:trPr/>
        <w:tc>
          <w:tcPr>
            <w:tcW w:w="3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Nine Months Ended </w:t>
              <w:br/>
              <w:t>June 30,</w:t>
            </w:r>
          </w:p>
        </w:tc>
        <w:tc>
          <w:tcPr>
            <w:tcW w:w="13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3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Interest and financing expenses</w:t>
            </w:r>
          </w:p>
        </w:tc>
        <w:tc>
          <w:tcPr>
            <w:tcW w:w="9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2,320</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2,660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7,061</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7,785</w:t>
            </w:r>
          </w:p>
        </w:tc>
        <w:tc>
          <w:tcPr>
            <w:tcW w:w="13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Salaries and benefits</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1,079</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1,238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3,065</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3,451</w:t>
            </w:r>
          </w:p>
        </w:tc>
        <w:tc>
          <w:tcPr>
            <w:tcW w:w="13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Professional fees, net</w:t>
            </w:r>
          </w:p>
        </w:tc>
        <w:tc>
          <w:tcPr>
            <w:tcW w:w="9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285</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305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1,086</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1,301</w:t>
            </w:r>
          </w:p>
        </w:tc>
        <w:tc>
          <w:tcPr>
            <w:tcW w:w="13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General and administrative</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355</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398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1,078</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928</w:t>
            </w:r>
          </w:p>
        </w:tc>
        <w:tc>
          <w:tcPr>
            <w:tcW w:w="13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Directors fees</w:t>
            </w:r>
          </w:p>
        </w:tc>
        <w:tc>
          <w:tcPr>
            <w:tcW w:w="9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153</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204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526</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613</w:t>
            </w:r>
          </w:p>
        </w:tc>
        <w:tc>
          <w:tcPr>
            <w:tcW w:w="13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Administrator expenses</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109</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320</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304</w:t>
            </w:r>
          </w:p>
        </w:tc>
        <w:tc>
          <w:tcPr>
            <w:tcW w:w="13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Insurance expenses</w:t>
            </w:r>
          </w:p>
        </w:tc>
        <w:tc>
          <w:tcPr>
            <w:tcW w:w="9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283"/>
              <w:jc w:val="right"/>
              <w:rPr/>
            </w:pPr>
            <w:r>
              <w:rPr/>
              <w:t>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8" w:type="dxa"/>
            <w:tcBorders>
              <w:bottom w:val="single" w:sz="12" w:space="0" w:color="000000"/>
            </w:tcBorders>
            <w:shd w:fill="CCEEFF" w:val="clear"/>
            <w:tcMar>
              <w:bottom w:w="28" w:type="dxa"/>
            </w:tcMar>
            <w:vAlign w:val="center"/>
          </w:tcPr>
          <w:p>
            <w:pPr>
              <w:pStyle w:val="TableContents"/>
              <w:bidi w:val="0"/>
              <w:spacing w:before="0" w:after="283"/>
              <w:jc w:val="right"/>
              <w:rPr/>
            </w:pPr>
            <w:r>
              <w:rPr/>
              <w:t>224</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8" w:type="dxa"/>
            <w:tcBorders>
              <w:bottom w:val="single" w:sz="12" w:space="0" w:color="000000"/>
            </w:tcBorders>
            <w:shd w:fill="CCEEFF" w:val="clear"/>
            <w:tcMar>
              <w:bottom w:w="28" w:type="dxa"/>
            </w:tcMar>
            <w:vAlign w:val="center"/>
          </w:tcPr>
          <w:p>
            <w:pPr>
              <w:pStyle w:val="TableContents"/>
              <w:bidi w:val="0"/>
              <w:spacing w:before="0" w:after="283"/>
              <w:jc w:val="right"/>
              <w:rPr/>
            </w:pPr>
            <w:r>
              <w:rPr/>
              <w:t>262</w:t>
            </w:r>
          </w:p>
        </w:tc>
        <w:tc>
          <w:tcPr>
            <w:tcW w:w="13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Total Expenses</w:t>
            </w:r>
          </w:p>
        </w:tc>
        <w:tc>
          <w:tcPr>
            <w:tcW w:w="90" w:type="dxa"/>
            <w:tcBorders/>
            <w:vAlign w:val="center"/>
          </w:tcPr>
          <w:p>
            <w:pPr>
              <w:pStyle w:val="TableContents"/>
              <w:bidi w:val="0"/>
              <w:spacing w:before="0" w:after="283"/>
              <w:jc w:val="left"/>
              <w:rPr/>
            </w:pPr>
            <w:r>
              <w:rPr/>
              <w:t> </w:t>
            </w:r>
          </w:p>
        </w:tc>
        <w:tc>
          <w:tcPr>
            <w:tcW w:w="305" w:type="dxa"/>
            <w:tcBorders>
              <w:bottom w:val="double" w:sz="10" w:space="0" w:color="000000"/>
            </w:tcBorders>
            <w:tcMar>
              <w:bottom w:w="28" w:type="dxa"/>
            </w:tcMar>
            <w:vAlign w:val="center"/>
          </w:tcPr>
          <w:p>
            <w:pPr>
              <w:pStyle w:val="TableContents"/>
              <w:bidi w:val="0"/>
              <w:spacing w:before="0" w:after="283"/>
              <w:jc w:val="left"/>
              <w:rPr/>
            </w:pPr>
            <w:r>
              <w:rPr/>
              <w:t>$</w:t>
            </w:r>
          </w:p>
        </w:tc>
        <w:tc>
          <w:tcPr>
            <w:tcW w:w="1058" w:type="dxa"/>
            <w:tcBorders>
              <w:bottom w:val="double" w:sz="10" w:space="0" w:color="000000"/>
            </w:tcBorders>
            <w:tcMar>
              <w:bottom w:w="28" w:type="dxa"/>
            </w:tcMar>
            <w:vAlign w:val="center"/>
          </w:tcPr>
          <w:p>
            <w:pPr>
              <w:pStyle w:val="TableContents"/>
              <w:bidi w:val="0"/>
              <w:spacing w:before="0" w:after="283"/>
              <w:jc w:val="right"/>
              <w:rPr/>
            </w:pPr>
            <w:r>
              <w:rPr/>
              <w:t>4,376</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305" w:type="dxa"/>
            <w:tcBorders>
              <w:bottom w:val="double" w:sz="10" w:space="0" w:color="000000"/>
            </w:tcBorders>
            <w:tcMar>
              <w:bottom w:w="28" w:type="dxa"/>
            </w:tcMar>
            <w:vAlign w:val="center"/>
          </w:tcPr>
          <w:p>
            <w:pPr>
              <w:pStyle w:val="TableContents"/>
              <w:bidi w:val="0"/>
              <w:spacing w:before="0" w:after="283"/>
              <w:jc w:val="left"/>
              <w:rPr/>
            </w:pPr>
            <w:r>
              <w:rPr/>
              <w:t>$</w:t>
            </w:r>
          </w:p>
        </w:tc>
        <w:tc>
          <w:tcPr>
            <w:tcW w:w="1058" w:type="dxa"/>
            <w:tcBorders>
              <w:bottom w:val="double" w:sz="10" w:space="0" w:color="000000"/>
            </w:tcBorders>
            <w:tcMar>
              <w:bottom w:w="28" w:type="dxa"/>
            </w:tcMar>
            <w:vAlign w:val="center"/>
          </w:tcPr>
          <w:p>
            <w:pPr>
              <w:pStyle w:val="TableContents"/>
              <w:bidi w:val="0"/>
              <w:spacing w:before="0" w:after="283"/>
              <w:jc w:val="right"/>
              <w:rPr/>
            </w:pPr>
            <w:r>
              <w:rPr/>
              <w:t>4,999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8" w:type="dxa"/>
            <w:tcBorders>
              <w:bottom w:val="double" w:sz="10" w:space="0" w:color="000000"/>
            </w:tcBorders>
            <w:tcMar>
              <w:bottom w:w="28" w:type="dxa"/>
            </w:tcMar>
            <w:vAlign w:val="center"/>
          </w:tcPr>
          <w:p>
            <w:pPr>
              <w:pStyle w:val="TableContents"/>
              <w:bidi w:val="0"/>
              <w:spacing w:before="0" w:after="283"/>
              <w:jc w:val="right"/>
              <w:rPr/>
            </w:pPr>
            <w:r>
              <w:rPr/>
              <w:t>13,360</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8" w:type="dxa"/>
            <w:tcBorders>
              <w:bottom w:val="double" w:sz="10" w:space="0" w:color="000000"/>
            </w:tcBorders>
            <w:tcMar>
              <w:bottom w:w="28" w:type="dxa"/>
            </w:tcMar>
            <w:vAlign w:val="center"/>
          </w:tcPr>
          <w:p>
            <w:pPr>
              <w:pStyle w:val="TableContents"/>
              <w:bidi w:val="0"/>
              <w:spacing w:before="0" w:after="283"/>
              <w:jc w:val="right"/>
              <w:rPr/>
            </w:pPr>
            <w:r>
              <w:rPr/>
              <w:t>14,644</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total operating expenses decreased by $(0.6) million, or (12.5)% compared to the three months ended June 30, 2025. For the nine months ended June 30, 2026, total operating expenses decreased by $(1.3) million, or (8.8)% compared to the nine months ended June 30,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and Financing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financing expenses for the three months ended June 30, 2026 decreased by $(0.3) million, or (12.8) % compared to the three months ended June 30, 2025. Interest and financing expenses for the nine months ended June 30, 2026 decreased by $(0.7) million, or (9.3)% compared to the nine months ended June 30, 2025. The decrease in interest and financing expenses for the three and nine months ended June 30, 2026 was primarily due to borrowing at lower floating interest rates on the Credit Facility.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 Fees and General and Administrative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 and general and administrative expenses for the three months ended June 30, 2026 decreased by $(0.1) million, or (9.0)% compared to the three months ended June 30, 2025. Professional fees and general and administrative expenses for the nine months ended June 30, 2026 decreased by $(0.1) million, or (2.9)% compared to the nine months ended June 30,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Realized Gains/Losses from Investments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realized gains or losses by the difference between the net proceeds from the disposition and the amortized cost basis of an investment, without regard to unrealized gains or losses previously recognized.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we recognized $0.4 million of realized gains on our portfolio investments. The realized gains for the three months ended June 30, 2026 were primarily due to realized gains of $0.3 million on Compass Diversified Holdings.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we recognized $(14.2) thousand of realized losses on our portfolio investments. The realized losses for the nine months ended June 30, 2026 were primarily due to realized losses on Copper Property CTL Pass Through Trust of $(0.6) million and Chimera Investment Corp of $(0.4) million, offset by realized gains on Compass Diversified Holdings of $0.4 million, CB&amp;L Associates Holdco I, LLC of $0.4 million and Neptune Bidco US, Inc. of $0.4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2025, we recognized $(12.0) million of net realized losses on our portfolio investments. During the nine months ended June 30, 2025, we recognized $(11.9) million of net realized losses on our portfolio investments. The net realized losses for the three months ended June 30, 2025 were due to the realized losses of $10.3 million on Black Angus Steakhouses, LLC, $1.0 million on Lighting Science Group Corporation, and $0.7 million on Velocity Pooling Vehicle, LLC. The net realized losses for nine months ended June 30, 2025 were primarily due to the realized losses of $10.3 million on Black Angus Steakhouses, LLC, $1.9 million on Point.360, $1.0 million on Lighting Science Group Corporation, and $0.7 million on Velocity Pooling Vehicle LLC, offset by a realized gain on PHH Mortgage Corp. for $0.8 million and realized gains on Altisource S.A.R.L., CB&amp;L Associates Holdco I, LLC, and All Around Roustabout, LLC of $0.7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Unrealized Appreciation/Depreciation on Investments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unrealized appreciation or depreciation on investments reflects the net change in the fair value of our investment portfolio.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we had $1.8 million of net unrealized appreciation on investments. The net unrealized appreciation resulted primarily from unrealized gains on NSG Captive,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we had $(3.7) million of net unrealized depreciation on investments. The net unrealized depreciation resulted primarily from unrealized losses on NVTN, LLC of $(3.8) million, Altisource S.A.R.L. of $(2.8) million, MB Precision Investment Holdings LLC of $(2.5) million, Lucky Bucks, LLC of $(1.9) million, and Advocates for Disabled Vets, LLC of $(1.6) million, offset by unrealized gains on NSG Captive Inc. of $3.6 million, FST Holdings Parent, LLC of $2.0 million, Power Stop LLC of $1.1 million, ECC Capital Corp. of $0.9 million, and JFL-NGS-WCS Partners, LLC of $0.9 million.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we had $9.3 million of net unrealized gains. The net unrealized appreciation resulted from the reversal of the unrealized loss on Black Angus Steakhouses, LLC for $9.1 million, Lighting Science Group Corporation for $1.0 million, and Velocity Pooling Vehicle, LLC for $0.7 million as well as unrealized gains on ECC Capital Corporation for $1.4 million, offset by unrealized losses on JFL-NGS-WCS Partners, LLC of $(1.5) million and unrealized losses on Power Stop of $(1.1)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2025, we had $8.5 million of net unrealized gains. The net unrealized appreciation resulted from the reversal of the unrealized loss on Black Angus Steakhouses, LLC for $8.2 million, Lighting Science Group Corporation for $1.0 million, and Velocity Pooling Vehicle, LLC for $0.7 million, offset by unrealized losses on NVTN LLC of $(1.7)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for Deferred Taxes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consolidated subsidiaries of ours are subject to U.S. federal and state income taxes. These taxable subsidiaries are not consolidated with the Company for income tax purposes, but are consolidated for GAAP purposes, and may generate income tax liabilities or assets from temporary differences in the recognition of items for financial reporting and income tax purposes at the subsidiaries. For the three and nine months ended June 30, 2026 the Company recorded a change in provision for deferred taxes of $(86,737) and $(676,181),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Net Assets from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we recorded a net increase in net assets resulting from operations of $4.2 million compared to a net decrease in net assets resulting from operations of $(1.5) million for the three months ended June 30, 2025. Based on 1,932,597 and 2,017,330 weighted average common shares outstanding for the three months ended June 30, 2026 and 2025, respectively, our per share net increase (decrease) in net assets resulting from operations was $2.19 for the three months ended June 30, 2026 and $(0.74) for the three months ended June 30,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we recorded a net increase in net assets resulting from operations of $0.6 million compared to a net increase in net assets resulting from operations of $0.1 million for the nine months ended June 30, 2025. Based on 1,969,108 and 2,018,962 weighted average common shares outstanding for the nine months ended June 30, 2026 and 2025, respectively, our per share net increase (decrease) in net assets resulting from operations was $0.30 for the nine months ended June 30, 2026 and $0.03 for the nine months ended June 30,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RIC, we distribute substantially all of our taxable net income to our stockholders and have an ongoing need to raise additional capital for investment purposes. To fund growth, we have a number of alternatives available to increase capital, including raising equity, increasing debt, and funding from operational cash flow.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and capital resources historically have been generated primarily from the net proceeds of public offerings of common stock, advances from the Credit Facility and net proceeds from the issuance of notes as well as cash flows from operations. In the future, we may generate cash from future offerings of securities, future borrowings and cash flows from operations, including interest earned from the temporary investment of cash in U.S. government securities and other high-quality debt investments that mature in one year or less. Our primary use of funds is investments in our targeted asset classes, cash distributions to our stockholders, and other general corporate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we had $2.2 million and $7.3 million, respectively, in cash and cash equivalents.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our RIC tax treatment under the Code, we intend to distribute to our stockholders substantially all of our taxable income, but we may also elect to periodically spill over certain excess undistributed taxable income from one tax year into the next tax year. In addition, as a BDC, for each taxable year we generally are required to meet a coverage ratio of total assets to total senior securities, which include borrowings and any preferred stock we may issue in the future, of at least 200% (or 150% if, pursuant to the 1940 Act, certain requirements are met). This requirement limits the amount that we may borrow.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2021, the Company announced that its board of directors approved a share repurchase program. On February 9, 2022, the Board of Directors approved the expansion of the amount authorized for repurchase under the Company’s share repurchase program from $15 million to $25 million. On February 8, 2023, the Board of Directors approved the further expansion of the amount authorized for repurchase under the Company’s share repurchase program from $25 million to $35 million. Under the share repurchase program, the Company repurchased an aggregate of 791,236 shares of common stock through June 30, 2026, or 29.0% of shares outstanding as of the program’s inception, with a total cost of $32.3 million. The total remaining amount authorized under the expanded share repurchase program at June 30, 2026 was approximately $2.7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Facility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2022, the Company and its wholly-owned subsidiaries executed a three-year, $50 million revolving credit facility (the “Credit Facility”) with Woodforest National Bank (Woodforest), Valley National Bank, and Axiom Bank, (collectively, the “Lenders”). Woodforest was the administrative agent, sole bookrunner and sole lead arranger. The Credit Facility had an original maturity date of December 15,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loans under the Credit Facility bear interest at a monthly rate of Term SOFR + 2.50%. The Company is also subject to a commitment fee of 0.25%, which shall accrue on the actual daily amount of the undrawn portion of the revolving credit. The Credit Facility contains customary representations and warranties and affirmative and negative covenants. The Credit Facility contains customary events of default for credit facilities of this type, including (without limitation): nonpayment of principal, interest, fees or other amounts after a stated grace period; inaccuracy of material representations and warranties; change of control; violations of covenants, subject in certain cases to stated cure periods; and certain bankruptcies and liquidations. If an event of default occurs and is continuing, the Company may be required to repay all amounts outstanding under the Credit Facility.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21, 2024 (the “First Amendment Effective Date”), in order to increase the size of the Credit Facility, the parties to the Credit Facility amended the terms of the Credit Facility, effective as of the First Amendment Effective Date (the “First Amendment”). The First Amendment increased the principal amount of the loan available under the Credit Facility by $12.5 million to $62.5 million. All other material terms of the Credit Facility remain unchanged.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(the “Second Amendment Effective Date”), in order to increase the size of the Credit Facility, the parties to the Credit Facility amended the Credit Facility, effective as of the Second Amendment Effective Date (the “Second Amendment”). The Second Amendment increased the principal amount of the loan available under the Credit Facility by $25 million to $87.5 million. All other material terms of the Credit Facility remain unchanged.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“Third Amendment Effective Date”), in order to extend the term and increase the size of the Credit Facility, the parties to the Credit Facility amended the terms of the Credit Facility, effective as of the Third Amendment Effective Date (the “Third Amendment”). The Third Amendment increased the principal amount of the loan available under the Credit Facility by $12.5 million to $100.0 million (with potential access to up to an additional $50,000,000 pursuant to an uncommitted accordion provision) and appointed BankUnited, N.A. to assume all agency and syndication responsibilities from the prior agent and lenders. Outstanding loans under the terms of the Amendment bear a monthly interest rate ranging from ABR + 1.35% to ABR + 1.75% for any alternative base rate loans and from Term SOFR + 2.35% to Term SOFR + 2.75% for any term benchmark loans based on the total debt to tangible net worth ratio. The Amendment also extended the term of the credit facility to April 17, 2030, five years from the Effective Date. Other material terms remain substantially unchanged. As of June 30, 2026, there was $90.0 million of outstanding borrowings by the Company under the Credit Facility. As of June 30, 2026, the Company was in compliance in all respects with the terms of the Credit Facility.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Unsecured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2028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9, 2021, the Company entered into an underwriting agreement, by and between the Company and Oppenheimer &amp; Co. Inc., as representative of the several underwriters named in Exhibit A thereto, in connection with the issuance and sale (the “Offering”) of $57,500,000 (including the underwriters’ option to purchase up to $7,500,000 aggregate principal amount) in aggregate principal amount of its 5.25% Notes due 2028 (the “2028 Notes”). The Offering occurred on November 15, 2021, pursuant to the Company’s effective shelf registration statement on Form N-2 previously filed with the SEC, as supplemented by a preliminary prospectus supplement dated November 8, 2021, the pricing term sheet dated November 9, 2021 and a final prospectus supplement dated November 9, 2021. Effective November 16, 2021, the 2028 Notes began trading on the NASDAQ Global Market under the trading symbol “PFXNZ.”</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2021, the Company and U.S. Bank National Association, as trustee entered into a Fourth Supplemental Indenture to its base Indenture, dated February 7, 2012, between the Company and the Trustee. The Fourth Supplemental Indenture relates to the Offering of the 2028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2028 Promissory Note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 2024, the Company issued a 5.25% note due November 1, 2028 in the principal amount of $1,661,498 to National Security Insurance Company (the “2028 Promissory Note”). The financial terms of the note are substantially the same as the 2028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8, 2025, the Company redeemed in aggregate its principal amount of the issued and outstanding 2028 Promissory Note, comprising all issued and outstanding 2028 Promissory Notes, at a price equal to the closing market price of the 2028 Notes on December 5, 2025, plus accrued and unpaid interest thereon from November 1, 2025, through, but excluding, December 8, 2025 in accordance with the terms of the indenture governing the 2028 Promissory Note. The redemption was completed on December 8,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Off-Balance Sheet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we had commitments under loan and financing agreements to fund up to $10.6 million to eight portfolio companies and $5.5 million to six portfolio companies, respectively. These commitments are primarily composed of senior secured term loans and revolvers, and the determination of their fair value is included in the Consolidated Schedule of Investments. The commitments are generally subject to the borrowers meeting certain criteria such as compliance with covenants and certain operational metrics. The terms of the borrowings and financings subject to commitment are comparable to the terms of other loan and equity securities in our portfolio. A summary of the composition of the unfunded commitments as of June 30, 2026 and September 30, 2025 is shown in the table below (dollars in thousands):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53"/>
        <w:gridCol w:w="90"/>
        <w:gridCol w:w="172"/>
        <w:gridCol w:w="724"/>
        <w:gridCol w:w="90"/>
        <w:gridCol w:w="90"/>
        <w:gridCol w:w="345"/>
        <w:gridCol w:w="1202"/>
        <w:gridCol w:w="139"/>
      </w:tblGrid>
      <w:tr>
        <w:trPr/>
        <w:tc>
          <w:tcPr>
            <w:tcW w:w="73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139" w:type="dxa"/>
            <w:tcBorders/>
            <w:vAlign w:val="center"/>
          </w:tcPr>
          <w:p>
            <w:pPr>
              <w:pStyle w:val="TableContents"/>
              <w:bidi w:val="0"/>
              <w:spacing w:before="0" w:after="283"/>
              <w:ind w:left="0" w:right="0" w:hanging="180"/>
              <w:jc w:val="left"/>
              <w:rPr/>
            </w:pPr>
            <w:r>
              <w:rPr/>
              <w:t> </w:t>
            </w:r>
          </w:p>
        </w:tc>
      </w:tr>
      <w:tr>
        <w:trPr/>
        <w:tc>
          <w:tcPr>
            <w:tcW w:w="7353" w:type="dxa"/>
            <w:tcBorders/>
            <w:shd w:fill="CCEEFF" w:val="clear"/>
            <w:vAlign w:val="center"/>
          </w:tcPr>
          <w:p>
            <w:pPr>
              <w:pStyle w:val="TableContents"/>
              <w:bidi w:val="0"/>
              <w:spacing w:before="0" w:after="283"/>
              <w:jc w:val="left"/>
              <w:rPr/>
            </w:pPr>
            <w:r>
              <w:rPr/>
              <w:t>MB Precision Investment Holdings LLC - Senior Secured First Lien Revolver</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724" w:type="dxa"/>
            <w:tcBorders/>
            <w:shd w:fill="CCEEFF" w:val="clear"/>
            <w:vAlign w:val="center"/>
          </w:tcPr>
          <w:p>
            <w:pPr>
              <w:pStyle w:val="TableContents"/>
              <w:bidi w:val="0"/>
              <w:spacing w:before="0" w:after="283"/>
              <w:jc w:val="right"/>
              <w:rPr/>
            </w:pPr>
            <w:r>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202" w:type="dxa"/>
            <w:tcBorders/>
            <w:shd w:fill="CCEEFF" w:val="clear"/>
            <w:vAlign w:val="center"/>
          </w:tcPr>
          <w:p>
            <w:pPr>
              <w:pStyle w:val="TableContents"/>
              <w:bidi w:val="0"/>
              <w:spacing w:before="0" w:after="283"/>
              <w:jc w:val="right"/>
              <w:rPr/>
            </w:pPr>
            <w:r>
              <w:rPr/>
              <w:t>85</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7353" w:type="dxa"/>
            <w:tcBorders/>
            <w:vAlign w:val="center"/>
          </w:tcPr>
          <w:p>
            <w:pPr>
              <w:pStyle w:val="TableContents"/>
              <w:bidi w:val="0"/>
              <w:spacing w:before="0" w:after="283"/>
              <w:jc w:val="left"/>
              <w:rPr/>
            </w:pPr>
            <w:r>
              <w:rPr/>
              <w:t>MB Precision Investment Holdings LLC - Senior Secured Delayed Draw Term Loan</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1,521</w:t>
            </w:r>
          </w:p>
        </w:tc>
        <w:tc>
          <w:tcPr>
            <w:tcW w:w="139" w:type="dxa"/>
            <w:tcBorders/>
            <w:vAlign w:val="center"/>
          </w:tcPr>
          <w:p>
            <w:pPr>
              <w:pStyle w:val="TableContents"/>
              <w:bidi w:val="0"/>
              <w:spacing w:before="0" w:after="283"/>
              <w:ind w:left="0" w:right="0" w:hanging="180"/>
              <w:jc w:val="left"/>
              <w:rPr/>
            </w:pPr>
            <w:r>
              <w:rPr/>
              <w:t> </w:t>
            </w:r>
          </w:p>
        </w:tc>
      </w:tr>
      <w:tr>
        <w:trPr/>
        <w:tc>
          <w:tcPr>
            <w:tcW w:w="7353" w:type="dxa"/>
            <w:tcBorders/>
            <w:shd w:fill="CCEEFF" w:val="clear"/>
            <w:vAlign w:val="center"/>
          </w:tcPr>
          <w:p>
            <w:pPr>
              <w:pStyle w:val="TableContents"/>
              <w:bidi w:val="0"/>
              <w:spacing w:before="0" w:after="283"/>
              <w:jc w:val="left"/>
              <w:rPr/>
            </w:pPr>
            <w:r>
              <w:rPr/>
              <w:t>PREIT Associates - Revolver</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61</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7353" w:type="dxa"/>
            <w:tcBorders/>
            <w:vAlign w:val="center"/>
          </w:tcPr>
          <w:p>
            <w:pPr>
              <w:pStyle w:val="TableContents"/>
              <w:bidi w:val="0"/>
              <w:spacing w:before="0" w:after="283"/>
              <w:jc w:val="left"/>
              <w:rPr/>
            </w:pPr>
            <w:r>
              <w:rPr/>
              <w:t>PSB Group, LLC - Revolver</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882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472</w:t>
            </w:r>
          </w:p>
        </w:tc>
        <w:tc>
          <w:tcPr>
            <w:tcW w:w="139" w:type="dxa"/>
            <w:tcBorders/>
            <w:vAlign w:val="center"/>
          </w:tcPr>
          <w:p>
            <w:pPr>
              <w:pStyle w:val="TableContents"/>
              <w:bidi w:val="0"/>
              <w:spacing w:before="0" w:after="283"/>
              <w:ind w:left="0" w:right="0" w:hanging="180"/>
              <w:jc w:val="left"/>
              <w:rPr/>
            </w:pPr>
            <w:r>
              <w:rPr/>
              <w:t> </w:t>
            </w:r>
          </w:p>
        </w:tc>
      </w:tr>
      <w:tr>
        <w:trPr/>
        <w:tc>
          <w:tcPr>
            <w:tcW w:w="7353" w:type="dxa"/>
            <w:tcBorders/>
            <w:shd w:fill="CCEEFF" w:val="clear"/>
            <w:vAlign w:val="center"/>
          </w:tcPr>
          <w:p>
            <w:pPr>
              <w:pStyle w:val="TableContents"/>
              <w:bidi w:val="0"/>
              <w:spacing w:before="0" w:after="283"/>
              <w:jc w:val="left"/>
              <w:rPr/>
            </w:pPr>
            <w:r>
              <w:rPr/>
              <w:t>SS Acquisition, LLC (dba Soccer Shots Franchising) - Revolver</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1,029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1,029</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7353" w:type="dxa"/>
            <w:tcBorders/>
            <w:vAlign w:val="center"/>
          </w:tcPr>
          <w:p>
            <w:pPr>
              <w:pStyle w:val="TableContents"/>
              <w:bidi w:val="0"/>
              <w:spacing w:before="0" w:after="283"/>
              <w:jc w:val="left"/>
              <w:rPr/>
            </w:pPr>
            <w:r>
              <w:rPr/>
              <w:t>Tamarix Capital Partners II, L.P. - Fund Investment</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865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865</w:t>
            </w:r>
          </w:p>
        </w:tc>
        <w:tc>
          <w:tcPr>
            <w:tcW w:w="139" w:type="dxa"/>
            <w:tcBorders/>
            <w:vAlign w:val="center"/>
          </w:tcPr>
          <w:p>
            <w:pPr>
              <w:pStyle w:val="TableContents"/>
              <w:bidi w:val="0"/>
              <w:spacing w:before="0" w:after="283"/>
              <w:ind w:left="0" w:right="0" w:hanging="180"/>
              <w:jc w:val="left"/>
              <w:rPr/>
            </w:pPr>
            <w:r>
              <w:rPr/>
              <w:t> </w:t>
            </w:r>
          </w:p>
        </w:tc>
      </w:tr>
      <w:tr>
        <w:trPr/>
        <w:tc>
          <w:tcPr>
            <w:tcW w:w="7353" w:type="dxa"/>
            <w:tcBorders/>
            <w:shd w:fill="CCEEFF" w:val="clear"/>
            <w:vAlign w:val="center"/>
          </w:tcPr>
          <w:p>
            <w:pPr>
              <w:pStyle w:val="TableContents"/>
              <w:bidi w:val="0"/>
              <w:spacing w:before="0" w:after="283"/>
              <w:jc w:val="left"/>
              <w:rPr/>
            </w:pPr>
            <w:r>
              <w:rPr/>
              <w:t>WHI Global, LLC - Revolver</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442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1,484</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7353" w:type="dxa"/>
            <w:tcBorders/>
            <w:vAlign w:val="center"/>
          </w:tcPr>
          <w:p>
            <w:pPr>
              <w:pStyle w:val="TableContents"/>
              <w:bidi w:val="0"/>
              <w:spacing w:before="0" w:after="283"/>
              <w:jc w:val="left"/>
              <w:rPr/>
            </w:pPr>
            <w:r>
              <w:rPr/>
              <w:t>Advocates for Disabled Vets, LLC (dba Reps for Vets) - Senior Secured Delayed Draw Term Loan</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540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w:t>
            </w:r>
          </w:p>
        </w:tc>
        <w:tc>
          <w:tcPr>
            <w:tcW w:w="139" w:type="dxa"/>
            <w:tcBorders/>
            <w:vAlign w:val="center"/>
          </w:tcPr>
          <w:p>
            <w:pPr>
              <w:pStyle w:val="TableContents"/>
              <w:bidi w:val="0"/>
              <w:spacing w:before="0" w:after="283"/>
              <w:ind w:left="0" w:right="0" w:hanging="180"/>
              <w:jc w:val="left"/>
              <w:rPr/>
            </w:pPr>
            <w:r>
              <w:rPr/>
              <w:t> </w:t>
            </w:r>
          </w:p>
        </w:tc>
      </w:tr>
      <w:tr>
        <w:trPr/>
        <w:tc>
          <w:tcPr>
            <w:tcW w:w="7353" w:type="dxa"/>
            <w:tcBorders/>
            <w:shd w:fill="CCEEFF" w:val="clear"/>
            <w:vAlign w:val="center"/>
          </w:tcPr>
          <w:p>
            <w:pPr>
              <w:pStyle w:val="TableContents"/>
              <w:bidi w:val="0"/>
              <w:spacing w:before="0" w:after="283"/>
              <w:jc w:val="left"/>
              <w:rPr/>
            </w:pPr>
            <w:r>
              <w:rPr/>
              <w:t>Kemmerer Operations, LLC – Senior Secured Delayed Draw Term Loan</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center"/>
          </w:tcPr>
          <w:p>
            <w:pPr>
              <w:pStyle w:val="TableContents"/>
              <w:bidi w:val="0"/>
              <w:spacing w:before="0" w:after="283"/>
              <w:jc w:val="right"/>
              <w:rPr/>
            </w:pPr>
            <w:r>
              <w:rPr/>
              <w:t>6,763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7353" w:type="dxa"/>
            <w:tcBorders/>
            <w:vAlign w:val="center"/>
          </w:tcPr>
          <w:p>
            <w:pPr>
              <w:pStyle w:val="TableContents"/>
              <w:bidi w:val="0"/>
              <w:spacing w:before="0" w:after="283"/>
              <w:jc w:val="left"/>
              <w:rPr/>
            </w:pPr>
            <w:r>
              <w:rPr/>
              <w:t>Total unfunded commitments</w:t>
            </w:r>
          </w:p>
        </w:tc>
        <w:tc>
          <w:tcPr>
            <w:tcW w:w="90" w:type="dxa"/>
            <w:tcBorders/>
            <w:vAlign w:val="center"/>
          </w:tcPr>
          <w:p>
            <w:pPr>
              <w:pStyle w:val="TableContents"/>
              <w:bidi w:val="0"/>
              <w:spacing w:before="0" w:after="283"/>
              <w:jc w:val="left"/>
              <w:rPr/>
            </w:pPr>
            <w:r>
              <w:rPr/>
              <w:t> </w:t>
            </w:r>
          </w:p>
        </w:tc>
        <w:tc>
          <w:tcPr>
            <w:tcW w:w="172" w:type="dxa"/>
            <w:tcBorders>
              <w:bottom w:val="double" w:sz="10" w:space="0" w:color="000000"/>
            </w:tcBorders>
            <w:tcMar>
              <w:bottom w:w="28" w:type="dxa"/>
            </w:tcMar>
            <w:vAlign w:val="center"/>
          </w:tcPr>
          <w:p>
            <w:pPr>
              <w:pStyle w:val="TableContents"/>
              <w:bidi w:val="0"/>
              <w:spacing w:before="0" w:after="283"/>
              <w:jc w:val="left"/>
              <w:rPr/>
            </w:pPr>
            <w:r>
              <w:rPr/>
              <w:t>$</w:t>
            </w:r>
          </w:p>
        </w:tc>
        <w:tc>
          <w:tcPr>
            <w:tcW w:w="724" w:type="dxa"/>
            <w:tcBorders>
              <w:bottom w:val="double" w:sz="10" w:space="0" w:color="000000"/>
            </w:tcBorders>
            <w:tcMar>
              <w:bottom w:w="28" w:type="dxa"/>
            </w:tcMar>
            <w:vAlign w:val="center"/>
          </w:tcPr>
          <w:p>
            <w:pPr>
              <w:pStyle w:val="TableContents"/>
              <w:bidi w:val="0"/>
              <w:spacing w:before="0" w:after="283"/>
              <w:jc w:val="right"/>
              <w:rPr/>
            </w:pPr>
            <w:r>
              <w:rPr/>
              <w:t>10,645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5" w:type="dxa"/>
            <w:tcBorders>
              <w:bottom w:val="double" w:sz="10" w:space="0" w:color="000000"/>
            </w:tcBorders>
            <w:tcMar>
              <w:bottom w:w="28" w:type="dxa"/>
            </w:tcMar>
            <w:vAlign w:val="center"/>
          </w:tcPr>
          <w:p>
            <w:pPr>
              <w:pStyle w:val="TableContents"/>
              <w:bidi w:val="0"/>
              <w:spacing w:before="0" w:after="283"/>
              <w:jc w:val="left"/>
              <w:rPr/>
            </w:pPr>
            <w:r>
              <w:rPr/>
              <w:t>$</w:t>
            </w:r>
          </w:p>
        </w:tc>
        <w:tc>
          <w:tcPr>
            <w:tcW w:w="1202" w:type="dxa"/>
            <w:tcBorders>
              <w:bottom w:val="double" w:sz="10" w:space="0" w:color="000000"/>
            </w:tcBorders>
            <w:tcMar>
              <w:bottom w:w="28" w:type="dxa"/>
            </w:tcMar>
            <w:vAlign w:val="center"/>
          </w:tcPr>
          <w:p>
            <w:pPr>
              <w:pStyle w:val="TableContents"/>
              <w:bidi w:val="0"/>
              <w:spacing w:before="0" w:after="283"/>
              <w:jc w:val="right"/>
              <w:rPr/>
            </w:pPr>
            <w:r>
              <w:rPr/>
              <w:t>5,517</w:t>
            </w:r>
          </w:p>
        </w:tc>
        <w:tc>
          <w:tcPr>
            <w:tcW w:w="139"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our payment obligations by calendar year for repayment of debt and other contractual obligations at June 30, 2026 (dollars in thousands):</w:t>
      </w:r>
    </w:p>
    <w:p>
      <w:pPr>
        <w:pStyle w:val="TextBody"/>
        <w:bidi w:val="0"/>
        <w:spacing w:before="0" w:after="0"/>
        <w:jc w:val="both"/>
        <w:rPr>
          <w:caps w:val="false"/>
          <w:smallCaps w:val="false"/>
        </w:rPr>
      </w:pPr>
      <w:r>
        <w:rPr>
          <w:caps w:val="false"/>
          <w:smallCaps w:val="false"/>
        </w:rPr>
        <w:t> </w:t>
      </w:r>
    </w:p>
    <w:tbl>
      <w:tblPr>
        <w:tblW w:w="11495" w:type="dxa"/>
        <w:jc w:val="left"/>
        <w:tblInd w:w="0" w:type="dxa"/>
        <w:tblLayout w:type="fixed"/>
        <w:tblCellMar>
          <w:top w:w="0" w:type="dxa"/>
          <w:left w:w="0" w:type="dxa"/>
          <w:bottom w:w="0" w:type="dxa"/>
          <w:right w:w="0" w:type="dxa"/>
        </w:tblCellMar>
      </w:tblPr>
      <w:tblGrid>
        <w:gridCol w:w="1220"/>
        <w:gridCol w:w="90"/>
        <w:gridCol w:w="170"/>
        <w:gridCol w:w="905"/>
        <w:gridCol w:w="125"/>
        <w:gridCol w:w="90"/>
        <w:gridCol w:w="170"/>
        <w:gridCol w:w="905"/>
        <w:gridCol w:w="125"/>
        <w:gridCol w:w="90"/>
        <w:gridCol w:w="170"/>
        <w:gridCol w:w="1205"/>
        <w:gridCol w:w="125"/>
        <w:gridCol w:w="90"/>
        <w:gridCol w:w="170"/>
        <w:gridCol w:w="905"/>
        <w:gridCol w:w="125"/>
        <w:gridCol w:w="90"/>
        <w:gridCol w:w="170"/>
        <w:gridCol w:w="1205"/>
        <w:gridCol w:w="125"/>
        <w:gridCol w:w="90"/>
        <w:gridCol w:w="170"/>
        <w:gridCol w:w="1085"/>
        <w:gridCol w:w="125"/>
        <w:gridCol w:w="90"/>
        <w:gridCol w:w="170"/>
        <w:gridCol w:w="1325"/>
        <w:gridCol w:w="170"/>
      </w:tblGrid>
      <w:tr>
        <w:trPr/>
        <w:tc>
          <w:tcPr>
            <w:tcW w:w="122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0015"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Payments Due by Period</w:t>
            </w:r>
          </w:p>
        </w:tc>
        <w:tc>
          <w:tcPr>
            <w:tcW w:w="170" w:type="dxa"/>
            <w:tcBorders/>
            <w:vAlign w:val="center"/>
          </w:tcPr>
          <w:p>
            <w:pPr>
              <w:pStyle w:val="TableContents"/>
              <w:bidi w:val="0"/>
              <w:spacing w:before="0" w:after="283"/>
              <w:ind w:left="0" w:right="0" w:hanging="180"/>
              <w:jc w:val="left"/>
              <w:rPr/>
            </w:pPr>
            <w:r>
              <w:rPr/>
              <w:t> </w:t>
            </w:r>
          </w:p>
        </w:tc>
      </w:tr>
      <w:tr>
        <w:trPr/>
        <w:tc>
          <w:tcPr>
            <w:tcW w:w="12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Thereafter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pPr>
            <w:r>
              <w:rPr/>
              <w:t>Revolving Credit Facility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(89,991,619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(89,991,619</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vAlign w:val="center"/>
          </w:tcPr>
          <w:p>
            <w:pPr>
              <w:pStyle w:val="TableContents"/>
              <w:bidi w:val="0"/>
              <w:spacing w:before="0" w:after="283"/>
              <w:jc w:val="left"/>
              <w:rPr/>
            </w:pPr>
            <w:r>
              <w:rPr/>
              <w:t>2028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(57,500,000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(57,500,000</w:t>
            </w:r>
          </w:p>
        </w:tc>
        <w:tc>
          <w:tcPr>
            <w:tcW w:w="170" w:type="dxa"/>
            <w:tcBorders/>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Obligation</w:t>
            </w:r>
            <w:r>
              <w:rPr>
                <w:rFonts w:ascii="Times New Roman;Times;Serif" w:hAnsi="Times New Roman;Times;Serif"/>
                <w:b w:val="false"/>
                <w:i w:val="false"/>
                <w:caps w:val="false"/>
                <w:smallCaps w:val="false"/>
                <w:position w:val="7"/>
                <w:sz w:val="16"/>
                <w:sz w:val="20"/>
              </w:rPr>
              <w:t> (1)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(160,650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(327,695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(337,525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(347,651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(358,081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(1,817,021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(3,348,623</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vAlign w:val="center"/>
          </w:tcPr>
          <w:p>
            <w:pPr>
              <w:pStyle w:val="TableContents"/>
              <w:bidi w:val="0"/>
              <w:spacing w:before="0" w:after="283"/>
              <w:jc w:val="left"/>
              <w:rPr>
                <w:b/>
              </w:rPr>
            </w:pPr>
            <w:r>
              <w:rPr>
                <w:b/>
              </w:rPr>
              <w:t>Total contractual obligations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tcMar>
              <w:bottom w:w="28" w:type="dxa"/>
            </w:tcMar>
            <w:vAlign w:val="center"/>
          </w:tcPr>
          <w:p>
            <w:pPr>
              <w:pStyle w:val="TableContents"/>
              <w:bidi w:val="0"/>
              <w:spacing w:before="0" w:after="283"/>
              <w:jc w:val="right"/>
              <w:rPr/>
            </w:pPr>
            <w:r>
              <w:rPr/>
              <w:t>(160,650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tcMar>
              <w:bottom w:w="28" w:type="dxa"/>
            </w:tcMar>
            <w:vAlign w:val="center"/>
          </w:tcPr>
          <w:p>
            <w:pPr>
              <w:pStyle w:val="TableContents"/>
              <w:bidi w:val="0"/>
              <w:spacing w:before="0" w:after="283"/>
              <w:jc w:val="right"/>
              <w:rPr/>
            </w:pPr>
            <w:r>
              <w:rPr/>
              <w:t>(327,695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(57,837,525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tcMar>
              <w:bottom w:w="28" w:type="dxa"/>
            </w:tcMar>
            <w:vAlign w:val="center"/>
          </w:tcPr>
          <w:p>
            <w:pPr>
              <w:pStyle w:val="TableContents"/>
              <w:bidi w:val="0"/>
              <w:spacing w:before="0" w:after="283"/>
              <w:jc w:val="right"/>
              <w:rPr/>
            </w:pPr>
            <w:r>
              <w:rPr/>
              <w:t>(347,651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(90,349,700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(1,817,021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tcMar>
              <w:bottom w:w="28" w:type="dxa"/>
            </w:tcMar>
            <w:vAlign w:val="center"/>
          </w:tcPr>
          <w:p>
            <w:pPr>
              <w:pStyle w:val="TableContents"/>
              <w:bidi w:val="0"/>
              <w:spacing w:before="0" w:after="283"/>
              <w:jc w:val="right"/>
              <w:rPr/>
            </w:pPr>
            <w:r>
              <w:rPr/>
              <w:t>(150,840,242</w:t>
            </w:r>
          </w:p>
        </w:tc>
        <w:tc>
          <w:tcPr>
            <w:tcW w:w="170" w:type="dxa"/>
            <w:tcBorders/>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Obligation means a rent payment obligation under a lease classified as an operating lease and disclosed pursuant to ASC 842, as may be modified or supplemented. On December 18, 2024, the Company amended the terms of the lease, contingent on certain events, extending the lease term until August 31, 2035, with a right to terminate on the 36th and 60th month anniversaries of September 5, 2025, as well as any time on or after the 84th month anniversary of September 5, 2025.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and intend to continue to qualify annually, to be treated for U.S. federal income tax purposes as a RIC under Subchapter M of the Code. As a RIC, in any taxable year with respect to which we timely distribute at least 90 percent of the sum of our (i) investment company taxable income (which is generally our net ordinary income plus the excess of realized net short-term capital gains over realized net long-term capital losses) determined without regard to the deduction for dividends paid and (ii) net tax exempt interest income (which is the excess of our gross tax exempt interest income over certain disallowed deductions), we (but not our stockholders) generally will not be subject to U.S. federal income tax on investment company taxable income and net capital gains that we distribute to our stockholders. We intend to distribute annually all or substantially all of such income, but we may also elect to periodically spill over certain excess undistributed taxable income from one tax year to the next tax year. To the extent that we retain our net capital gains or any investment company taxable income, we will be subject to U.S. federal income tax. We may choose to retain our net capital gains or any investment company taxable income, and pay the associated federal corporate income tax or excise tax, described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not distributed on a timely basis in accordance with a calendar year distribution requirement are subject to a nondeductible 4% U.S. federal excise tax payable by us. To avoid this tax, we must distribute (or be deemed to have distributed) during each calendar year an amount equal to the sum of:</w:t>
      </w:r>
    </w:p>
    <w:p>
      <w:pPr>
        <w:pStyle w:val="TextBody"/>
        <w:bidi w:val="0"/>
        <w:spacing w:before="0" w:after="0"/>
        <w:jc w:val="both"/>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105"/>
        <w:gridCol w:w="215"/>
        <w:gridCol w:w="912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98.0% of our ordinary income (not taking into account any capital gains or losses) for the calendar year;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92"/>
        <w:gridCol w:w="9908"/>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98.2% of the amount by which our capital gains exceed our capital losses (adjusted for certain ordinary losses) for a one-year period ending on October 31st of the calendar year; and</w:t>
            </w:r>
          </w:p>
        </w:tc>
      </w:tr>
    </w:tbl>
    <w:p>
      <w:pPr>
        <w:pStyle w:val="TextBody"/>
        <w:bidi w:val="0"/>
        <w:spacing w:before="0" w:after="0"/>
        <w:jc w:val="both"/>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105"/>
        <w:gridCol w:w="215"/>
        <w:gridCol w:w="85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realized, but not distributed, in preceding years and on which we did not pay federal income tax.</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intend to distribute any income and capital gains in the manner necessary to minimize imposition of the 4% U.S. federal excise tax, sufficient amounts of our taxable income and capital gains may not be distributed to avoid entirely the imposition of the tax. In that event, we will be liable for the tax only on the amount by which we do not meet the foregoing distribution requirement.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our taxable earnings fall below the total amount of our distributions for a taxable year, a portion of those distributions may be deemed a return of capital to our stockholders for U.S. federal income tax purposes. Stockholders should read any written disclosure accompanying a distribution carefully and should not assume that the source of any distribution is our ordinary income or gains.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federal, state and local tax consequences as if they received cash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declared a special dividend effective May 5, 2026 of $0.07 per share. This dividend was paid on May 28, 2026 to stockholders of record as of May 18, 2026. On February 6, 2025, the Board of Directors declared a special dividend of $1.43 per share. This dividend was paid on February 19, 2025 to stockholders of record as of February 17,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formal business code of conduct and ethics that governs the conduct of our CEO, CFO, chief accounting officer (which role is currently fulfilled by our CFO) and controller (Covered Officers). Our officers and directors also remain subject to the duties imposed by both the 1940 Act and the Delaware General Corporation Law. Our Code of Business Conduct and Ethics requires that all Covered Officers promote honest and ethical conduct, including the ethical handling of actual or apparent conflicts of interest between an individual’s personal and professional relationships. Pursuant to our Code of Business Conduct and Ethics, each Covered Officer must disclose to the Company’s CCO any conflicts of interest, or actions or relationships that might give rise to a conflict. Any approvals or waivers under our Code of Business Conduct and Ethics must be considered by the disinterested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contracts with its affiliated portfolio companies, The National Security Group (and certain of its affiliates) and ECC Capital Corporation, pursuant to which the Company (and/or certain of its subsidiaries) provide such affiliated portfolio companies certain services, including managing a portion of their assets. During the three and nine months ended June 30, 2026, the Company recognized $0.2 million and $0.5 million of income, respectively, related to these contracts. During the three and nine months ended June 30, 2025, the Company recognized $0.4 million and $0.6 million of income, respectively, related to these contracts.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Pledge and Security Agreement</w:t>
      </w:r>
      <w:r>
        <w:rPr>
          <w:rFonts w:ascii="Times New Roman;Times;Serif" w:hAnsi="Times New Roman;Times;Serif"/>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Credit Facility discussed in Note 5, the Company has entered into a Pledge and Security Agreement with the Lenders pursuant to which the Company and its wholly owned subsidiaries have pledged all their assets, including the cash and securities held in the Company’s custodial account with Computershare Trust Company, N.A., as collateral for any borrowings made by the Company pursuant to the Credit Agreement. The Lenders have the typical rights and remedies of a secured lender under the Uniform Commercial Code, including the right to foreclose on the collateral pledged by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21, 2024, the Pledge and Security Agreement was amended to (i) release and terminate the security interest in the equity interest of FlexFIN, LLC, pledged by PhenixFIN Investment Holdings LLC, (ii) grant a security interest in the membership interest of FlexFIN Holdco LLC, pledged by PhenixFIN Investment Holdings LLC, and (iii) reflect equity interests of certain subsidiaries held by the Company and its subsidiary in the exhibits.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the Pledge and Security Agreement was further amended to join an additional subsidiary of the Company as a Guarantor and grant a security interest in the equity interest of such additional subsidiary.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the Pledge and Security Agreement was further amended to exclude assets owned by excluded subsidiaries from the collateral package and reflect the equity interest of an additional subsidiary of the Company in the exhibits.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and related disclosures in conformity with U.S. generally accepted accounting principles requires management to make estimates and assumptions that affect the reported amounts of assets and liabilities, disclosure of contingent assets and liabilities at the date of the financial statements, and revenues and expenses during the periods reported. Actual results could materially differ from those estimates. We have identified the following items as critical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of Portfolio Investments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ASC 820 for measuring the fair value of portfolio investments. Fair value is the price that would be received in the sale of an asset or paid to transfer a liability in an orderly transaction between market participants at the measurement date. Where available, fair value is based on observable market prices or parameters, or derived from such prices or parameters. Where observable prices or inputs are not available, valuation models are applied. These valuation models involve some level of management estimation and judgment, the degree of which is dependent on the price transparency for the instruments or market and the instruments’ complexity. The Company’s fair value analysis includes an analysis of the value of any unfunded loan commitments. Financial investments recorded at fair value in the consolidated financial statements are categorized for disclosure purposes based upon the level of judgment associated with the inputs used to measure their value. The valuation hierarchical levels are based upon the transparency of the inputs to the valuation of the investment as of the measurement date. Investments which are valued using NAV as a practical expedient are excluded from this hierarchy. The three levels are defined below:</w:t>
      </w:r>
    </w:p>
    <w:p>
      <w:pPr>
        <w:pStyle w:val="TextBody"/>
        <w:bidi w:val="0"/>
        <w:spacing w:before="0" w:after="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105"/>
        <w:gridCol w:w="200"/>
        <w:gridCol w:w="96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Valuations based on quoted prices in active markets for identical assets or liabilities at the measurement date.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Valuations based on quoted prices in markets that are not active or for which all significant inputs are observable, either directly or indirectly.</w:t>
            </w:r>
          </w:p>
        </w:tc>
      </w:tr>
    </w:tbl>
    <w:p>
      <w:pPr>
        <w:pStyle w:val="TextBody"/>
        <w:bidi w:val="0"/>
        <w:spacing w:before="0" w:after="0"/>
        <w:jc w:val="both"/>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105"/>
        <w:gridCol w:w="200"/>
        <w:gridCol w:w="92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Valuations based on inputs that are unobservable and significant to the overall fair value measurement.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value investments for which market quotations are readily available at their market quotations, which are generally obtained from an independent pricing service or multiple broker-dealers or market makers. We weight the use of third-party broker quotes, if any, in determining fair value based on our understanding of the level of actual transactions used by the broker to develop the quote and whether the quote was an indicative price or binding offer. However, a readily available market value is not expected to exist for many of the investments in our portfolio, and we value these portfolio investments at fair value as determined in good faith by our board of directors under our valuation policy and process. We may seek pricing information with respect to certain of our investments from pricing services or brokers or dealers in order to value such investments.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methods may include comparisons of financial ratios of the portfolio companies that issued such private equity securities to peer companies that are public, the nature and realizable value of any collateral, the portfolio company’s ability to make payments and its earnings and discounted cash flows, the markets in which the portfolio company does business, and other relevant factors. When an external event such as a purchase transaction, public offering or subsequent equity sale occurs, we will consider the pricing indicated by the external event to corroborate the private equity 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2020, the SEC adopted Rule 2a-5 under the 1940 Act, which permits a BDC’s board of directors to designate its executive officer(s) as a valuation designee to determine the fair value of its investment portfolio, subject to the oversight of the board. The Board approved policies and procedures pursuant to Rule 2a-5 and has designated Ellida McMillan, the Company’s CFO, to serve as the Board’s valuation designee (“Valuation Designee”), subject to the Board’s oversight, effective September 8, 2022.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investments for which market quotations are not readily available, our board oversees and our Valuation Designee undertakes a multi-step valuation process each quarter, as described below:</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valuation process generally begins with each portfolio investment being initially valued by a Valuation Firm;</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third-party market data will be reviewed by Company personnel designated by the Valuation Designee (“Fair Value Personnel”) and the Valuation Firm.</w:t>
            </w:r>
          </w:p>
        </w:tc>
      </w:tr>
    </w:tbl>
    <w:p>
      <w:pPr>
        <w:pStyle w:val="TextBody"/>
        <w:bidi w:val="0"/>
        <w:spacing w:before="0" w:after="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105"/>
        <w:gridCol w:w="200"/>
        <w:gridCol w:w="87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portfolio company data and general industry data are then reviewed by the Fair Value Personnel.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valuation conclusions are then documented by the Valuation Firm and discussed with the Fair Value Personnel.</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Designee then determines the fair value of each investment in the Company’s portfolio in good faith based on such discussions, the Company’s Valuation Policy and the Valuation Firms’ final estimated valuations.</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Designee’s report is then presented to the Board of Directors and the Audit Committee.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following these approaches, the types of factors that are taken into account in fair value pricing investments include available current market data, including relevant and applicable market trading and transaction comparables; applicable market yields and multiples; security covenants; call protection provisions; information rights; the nature and realizable value of any collateral; the portfolio company’s ability to make payments; the portfolio company’s earnings and discounted cash flows; the markets in which the portfolio company does business; comparisons of financial ratios of peer companies that are public; comparable merger and acquisition transactions; and the principal market and enterprise values.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fair values involves subjective judgments and estimates made by management. The notes to our consolidated financial statements refer to the uncertainty with respect to the possible effect of such valuations, and any change in such valuations, on our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recognition policies are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Investments and Related Investment Income: </w:t>
      </w:r>
      <w:r>
        <w:rPr>
          <w:rFonts w:ascii="Times New Roman;Times;Serif" w:hAnsi="Times New Roman;Times;Serif"/>
          <w:b w:val="false"/>
          <w:i w:val="false"/>
          <w:caps w:val="false"/>
          <w:smallCaps w:val="false"/>
          <w:sz w:val="20"/>
        </w:rPr>
        <w:t>We account for investment transactions on a trade-date basis and interest income, adjusted for amortization of premiums and accretion of discounts, is recorded on an accrual basis. For investments with contractual PIK interest, which represents contractual interest accrued and added to the principal balance that generally becomes due at maturity, we will not accrue PIK interest if the portfolio company valuation indicates that the PIK interest is not collectible. Origination, closing and/or commitment fees associated with investments in portfolio companies are recognized as income when the investment transaction closes. Other fees are capitalized as deferred revenue and recorded into income over the respective period. Prepayment penalties received by the Company for debt instruments paid back to the Company prior to the maturity date are recorded as income upon receipt. Realized gains or losses on investments are measured by the difference between the net proceeds from the disposition and the amortized cost basis of an investment, without regard to unrealized gains or losses previously recognized. We report changes in the fair value of investments that are measured at fair value as a component of the net change in unrealized appreciation/(depreciation) on investments in our Consolidated Statements of Operations.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Non-accrual: </w:t>
      </w:r>
      <w:r>
        <w:rPr>
          <w:rFonts w:ascii="Times New Roman;Times;Serif" w:hAnsi="Times New Roman;Times;Serif"/>
          <w:b w:val="false"/>
          <w:i w:val="false"/>
          <w:caps w:val="false"/>
          <w:smallCaps w:val="false"/>
          <w:sz w:val="20"/>
        </w:rPr>
        <w:t>We place loans on non-accrual status when principal and interest payments are past due by 90 days or more, or when there is reasonable doubt that we will collect principal or interest. Accrued interest is generally reversed when a loan is placed on non-accrual. Interest payments received on non-accrual loans may be recognized as income or applied to principal depending upon management’s judgment. Non-accrual loans are restored to accrual status when past due principal and interest is paid and, in our management’s judgment, are likely to remain current. At June 30, 2026, a certain investment in one portfolio company held by the Company was on non-accrual status with a fair value of approximately $0.0 million, or 0.0% of the fair value of our portfolio, and a cost of $7.6 million. At September 30, 2025, a certain investment in one portfolio company held by the Company was on non-accrual status with a combined fair value of approximately $0.0 million, or 0.0% of the fair value of our portfolio, and a cost of $7.6 million.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Federal Income Taxes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and intends to continue to qualify annually, to be treated for U.S. federal income tax purposes as a RIC under Subchapter M of the Code and it intends to operate in a manner so as to maintain its RIC tax treatment. To do so, among other things, the Company is required to meet certain sources of income and asset diversification requirements and must timely distribute to its stockholders at least 90% of the sum of investment company taxable income (“ICTI”) including PIK, as defined by the Code, and net tax exempt interest income (which is the excess of our gross tax exempt interest income over certain disallowed deductions) for each taxable year. The Company will be subject to a nondeductible U.S. federal excise tax of 4% on undistributed income if it does not distribute at least 98% of its net ordinary income for any calendar year and 98.2% of its capital gain net income for each one-year period ending on October 31 of such calendar year and any income realized, but not distributed, in preceding years and on which it did not pay federal income tax. Depending on the level of ICTI earned in a tax year, the Company may choose to carry forward ICTI in excess of current year dividend distributions into the next tax year and pay a 4%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Any such carryover ICTI must be distributed before the end of that next tax year through a dividend declared prior to filing the final tax return related to the year which generated such ICTI.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federal income tax requirements differ from GAAP, distributions in accordance with tax requirements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9" w:name="aa_008"/>
      <w:bookmarkEnd w:id="9"/>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financial market risks, including changes in interest rates. Changes in interest rates may affect both our cost of funding and our interest income from portfolio investments and cash and cash equivalents. Our investment income will be affected by changes in various interest rates, including SOFR, to the extent our debt investments include floating interest rates. In the future, we expect other loans in our portfolio will have floating interest rates. We may hedge against interest rate fluctuations by using standard hedging instruments such as futures, options and forward contracts subject to the requirements of the 1940 Act. For the nine months ended June 30, 2026 and the year ended September 30, 2025, we did not engage in hedging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64.7% of our income-bearing investment portfolio bore interest based on floating rates based upon fair value. The substantial majority of this component of our portfolio bore interest based on a SOFR reference rate. A prolonged reduction in interest rates will reduce our gross investment income and could result in a decrease in our net investment income if such decreases in the applicable reference rates are not offset by a corresponding increase in the spread over the reference rates that we earn on any portfolio investments, a decrease in our operating expenses, including with respect to any income incentive fee, or a decrease in the interest rate of our floating interest rate liabilities tied to reference rates. In contrast, a rise in the general level of interest rates can be expected to lead to higher interest rates applicable to any variable rate investments we hold and to declines in the value of any fixed rate investments we hold. In addition, a rise in interest rates may increase the likelihood that a portfolio company defaults on a loan. However, many of our variable rate investments provide for an interest rate floor, which may prevent our interest income from increasing until benchmark interest rates increase beyond a threshold amount.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our floating rate debt investments by cash interest rate floor as of June 30, 2026 was as follows (dollars in thousands):</w:t>
      </w:r>
    </w:p>
    <w:p>
      <w:pPr>
        <w:pStyle w:val="TextBody"/>
        <w:bidi w:val="0"/>
        <w:spacing w:before="0" w:after="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2615"/>
        <w:gridCol w:w="90"/>
        <w:gridCol w:w="170"/>
        <w:gridCol w:w="1370"/>
        <w:gridCol w:w="90"/>
        <w:gridCol w:w="90"/>
        <w:gridCol w:w="99"/>
        <w:gridCol w:w="1376"/>
        <w:gridCol w:w="290"/>
      </w:tblGrid>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290" w:type="dxa"/>
            <w:tcBorders/>
            <w:vAlign w:val="center"/>
          </w:tcPr>
          <w:p>
            <w:pPr>
              <w:pStyle w:val="TableContents"/>
              <w:bidi w:val="0"/>
              <w:spacing w:before="0" w:after="283"/>
              <w:jc w:val="left"/>
              <w:rPr/>
            </w:pPr>
            <w:r>
              <w:rPr/>
              <w:t> </w:t>
            </w:r>
          </w:p>
        </w:tc>
      </w:tr>
      <w:tr>
        <w:trPr/>
        <w:tc>
          <w:tcPr>
            <w:tcW w:w="2615" w:type="dxa"/>
            <w:tcBorders>
              <w:bottom w:val="single" w:sz="12" w:space="0" w:color="000000"/>
            </w:tcBorders>
            <w:tcMar>
              <w:bottom w:w="28" w:type="dxa"/>
            </w:tcMar>
            <w:vAlign w:val="center"/>
          </w:tcPr>
          <w:p>
            <w:pPr>
              <w:pStyle w:val="TableContents"/>
              <w:bidi w:val="0"/>
              <w:spacing w:before="0" w:after="283"/>
              <w:jc w:val="left"/>
              <w:rPr>
                <w:b/>
              </w:rPr>
            </w:pPr>
            <w:r>
              <w:rPr>
                <w:b/>
              </w:rPr>
              <w:t>SOFR and LIBOR Floor</w:t>
            </w:r>
          </w:p>
        </w:tc>
        <w:tc>
          <w:tcPr>
            <w:tcW w:w="9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Floating</w:t>
              <w:br/>
              <w:t>Rate Portfolio</w:t>
            </w:r>
          </w:p>
        </w:tc>
        <w:tc>
          <w:tcPr>
            <w:tcW w:w="29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Under 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8,894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7.5</w:t>
            </w:r>
          </w:p>
        </w:tc>
        <w:tc>
          <w:tcPr>
            <w:tcW w:w="290" w:type="dxa"/>
            <w:tcBorders/>
            <w:shd w:fill="CCEEFF" w:val="clear"/>
            <w:vAlign w:val="center"/>
          </w:tcPr>
          <w:p>
            <w:pPr>
              <w:pStyle w:val="TableContents"/>
              <w:bidi w:val="0"/>
              <w:spacing w:before="0" w:after="283"/>
              <w:jc w:val="left"/>
              <w:rPr/>
            </w:pPr>
            <w:r>
              <w:rPr/>
              <w:t>%</w:t>
            </w:r>
          </w:p>
        </w:tc>
      </w:tr>
      <w:tr>
        <w:trPr/>
        <w:tc>
          <w:tcPr>
            <w:tcW w:w="2615" w:type="dxa"/>
            <w:tcBorders/>
            <w:vAlign w:val="center"/>
          </w:tcPr>
          <w:p>
            <w:pPr>
              <w:pStyle w:val="TableContents"/>
              <w:bidi w:val="0"/>
              <w:spacing w:before="0" w:after="283"/>
              <w:jc w:val="left"/>
              <w:rPr/>
            </w:pPr>
            <w:r>
              <w:rPr/>
              <w:t>1% to under 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27,240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76" w:type="dxa"/>
            <w:tcBorders/>
            <w:vAlign w:val="center"/>
          </w:tcPr>
          <w:p>
            <w:pPr>
              <w:pStyle w:val="TableContents"/>
              <w:bidi w:val="0"/>
              <w:spacing w:before="0" w:after="283"/>
              <w:jc w:val="right"/>
              <w:rPr/>
            </w:pPr>
            <w:r>
              <w:rPr/>
              <w:t>23.1</w:t>
            </w:r>
          </w:p>
        </w:tc>
        <w:tc>
          <w:tcPr>
            <w:tcW w:w="29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2% to under 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13,042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11.1</w:t>
            </w:r>
          </w:p>
        </w:tc>
        <w:tc>
          <w:tcPr>
            <w:tcW w:w="290"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3% to under 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32,908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76" w:type="dxa"/>
            <w:tcBorders/>
            <w:vAlign w:val="center"/>
          </w:tcPr>
          <w:p>
            <w:pPr>
              <w:pStyle w:val="TableContents"/>
              <w:bidi w:val="0"/>
              <w:spacing w:before="0" w:after="283"/>
              <w:jc w:val="right"/>
              <w:rPr/>
            </w:pPr>
            <w:r>
              <w:rPr/>
              <w:t>27.9</w:t>
            </w:r>
          </w:p>
        </w:tc>
        <w:tc>
          <w:tcPr>
            <w:tcW w:w="29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4% to under 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10,753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9.1</w:t>
            </w:r>
          </w:p>
        </w:tc>
        <w:tc>
          <w:tcPr>
            <w:tcW w:w="290"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No Floor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tcMar>
              <w:bottom w:w="28" w:type="dxa"/>
            </w:tcMar>
            <w:vAlign w:val="center"/>
          </w:tcPr>
          <w:p>
            <w:pPr>
              <w:pStyle w:val="TableContents"/>
              <w:bidi w:val="0"/>
              <w:spacing w:before="0" w:after="283"/>
              <w:jc w:val="right"/>
              <w:rPr/>
            </w:pPr>
            <w:r>
              <w:rPr/>
              <w:t>25,140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bottom w:val="single" w:sz="12" w:space="0" w:color="000000"/>
            </w:tcBorders>
            <w:tcMar>
              <w:bottom w:w="28" w:type="dxa"/>
            </w:tcMar>
            <w:vAlign w:val="center"/>
          </w:tcPr>
          <w:p>
            <w:pPr>
              <w:pStyle w:val="TableContents"/>
              <w:bidi w:val="0"/>
              <w:spacing w:before="0" w:after="283"/>
              <w:jc w:val="left"/>
              <w:rPr/>
            </w:pPr>
            <w:r>
              <w:rPr/>
              <w:t> </w:t>
            </w:r>
          </w:p>
        </w:tc>
        <w:tc>
          <w:tcPr>
            <w:tcW w:w="1376" w:type="dxa"/>
            <w:tcBorders>
              <w:bottom w:val="single" w:sz="12" w:space="0" w:color="000000"/>
            </w:tcBorders>
            <w:tcMar>
              <w:bottom w:w="28" w:type="dxa"/>
            </w:tcMar>
            <w:vAlign w:val="center"/>
          </w:tcPr>
          <w:p>
            <w:pPr>
              <w:pStyle w:val="TableContents"/>
              <w:bidi w:val="0"/>
              <w:spacing w:before="0" w:after="283"/>
              <w:jc w:val="right"/>
              <w:rPr/>
            </w:pPr>
            <w:r>
              <w:rPr/>
              <w:t>21.3</w:t>
            </w:r>
          </w:p>
        </w:tc>
        <w:tc>
          <w:tcPr>
            <w:tcW w:w="29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7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117,977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76"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100.0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Consolidated Statements of Assets and Liabilities as of June 30, 2026, the following table (dollars in thousands) shows the approximate increase/(decrease) in components of net assets resulting from operations of hypothetical SOFR base rate changes in interest rates, assuming no changes in our investment and capital structure.</w:t>
      </w:r>
    </w:p>
    <w:p>
      <w:pPr>
        <w:pStyle w:val="TextBody"/>
        <w:bidi w:val="0"/>
        <w:spacing w:before="0" w:after="0"/>
        <w:jc w:val="both"/>
        <w:rPr>
          <w:caps w:val="false"/>
          <w:smallCaps w:val="false"/>
        </w:rPr>
      </w:pPr>
      <w:r>
        <w:rPr>
          <w:caps w:val="false"/>
          <w:smallCaps w:val="false"/>
        </w:rPr>
        <w:t> </w:t>
      </w:r>
    </w:p>
    <w:tbl>
      <w:tblPr>
        <w:tblW w:w="6633" w:type="dxa"/>
        <w:jc w:val="left"/>
        <w:tblInd w:w="0" w:type="dxa"/>
        <w:tblLayout w:type="fixed"/>
        <w:tblCellMar>
          <w:top w:w="0" w:type="dxa"/>
          <w:left w:w="0" w:type="dxa"/>
          <w:bottom w:w="28" w:type="dxa"/>
          <w:right w:w="0" w:type="dxa"/>
        </w:tblCellMar>
      </w:tblPr>
      <w:tblGrid>
        <w:gridCol w:w="2585"/>
        <w:gridCol w:w="90"/>
        <w:gridCol w:w="205"/>
        <w:gridCol w:w="804"/>
        <w:gridCol w:w="125"/>
        <w:gridCol w:w="90"/>
        <w:gridCol w:w="184"/>
        <w:gridCol w:w="721"/>
        <w:gridCol w:w="125"/>
        <w:gridCol w:w="90"/>
        <w:gridCol w:w="322"/>
        <w:gridCol w:w="1122"/>
        <w:gridCol w:w="170"/>
      </w:tblGrid>
      <w:tr>
        <w:trPr/>
        <w:tc>
          <w:tcPr>
            <w:tcW w:w="2585" w:type="dxa"/>
            <w:tcBorders>
              <w:bottom w:val="single" w:sz="12" w:space="0" w:color="000000"/>
            </w:tcBorders>
            <w:vAlign w:val="center"/>
          </w:tcPr>
          <w:p>
            <w:pPr>
              <w:pStyle w:val="TableContents"/>
              <w:bidi w:val="0"/>
              <w:spacing w:before="0" w:after="283"/>
              <w:jc w:val="left"/>
              <w:rPr>
                <w:b/>
              </w:rPr>
            </w:pPr>
            <w:r>
              <w:rPr>
                <w:b/>
              </w:rPr>
              <w:t>Change in Interest Rates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12"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Interest</w:t>
              <w:br/>
              <w:t>Income</w:t>
            </w:r>
            <w:r>
              <w:rPr>
                <w:rFonts w:ascii="Times New Roman;Times;Serif" w:hAnsi="Times New Roman;Times;Serif"/>
                <w:b/>
                <w:i w:val="false"/>
                <w:caps w:val="false"/>
                <w:smallCaps w:val="false"/>
                <w:position w:val="7"/>
                <w:sz w:val="16"/>
                <w:sz w:val="20"/>
              </w:rPr>
              <w:t>(1)</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12" w:space="0" w:color="000000"/>
            </w:tcBorders>
            <w:vAlign w:val="center"/>
          </w:tcPr>
          <w:p>
            <w:pPr>
              <w:pStyle w:val="TableContents"/>
              <w:bidi w:val="0"/>
              <w:spacing w:before="0" w:after="283"/>
              <w:jc w:val="center"/>
              <w:rPr>
                <w:b/>
              </w:rPr>
            </w:pPr>
            <w:r>
              <w:rPr>
                <w:b/>
              </w:rPr>
              <w:t>Interest</w:t>
              <w:br/>
              <w:t>Expense</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center"/>
              <w:rPr>
                <w:b/>
              </w:rPr>
            </w:pPr>
            <w:r>
              <w:rPr>
                <w:b/>
              </w:rPr>
              <w:t xml:space="preserve">Net Increase/ </w:t>
              <w:br/>
              <w:t>(Decrease)</w:t>
            </w:r>
          </w:p>
        </w:tc>
        <w:tc>
          <w:tcPr>
            <w:tcW w:w="170" w:type="dxa"/>
            <w:tcBorders/>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pPr>
            <w:r>
              <w:rPr/>
              <w:t>Up 300 basis points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w:t>
            </w:r>
          </w:p>
        </w:tc>
        <w:tc>
          <w:tcPr>
            <w:tcW w:w="804" w:type="dxa"/>
            <w:tcBorders/>
            <w:shd w:fill="CCEEFF" w:val="clear"/>
            <w:tcMar>
              <w:bottom w:w="0" w:type="dxa"/>
            </w:tcMar>
            <w:vAlign w:val="center"/>
          </w:tcPr>
          <w:p>
            <w:pPr>
              <w:pStyle w:val="TableContents"/>
              <w:bidi w:val="0"/>
              <w:spacing w:before="0" w:after="283"/>
              <w:jc w:val="right"/>
              <w:rPr/>
            </w:pPr>
            <w:r>
              <w:rPr/>
              <w:t>4,182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721" w:type="dxa"/>
            <w:tcBorders/>
            <w:shd w:fill="CCEEFF" w:val="clear"/>
            <w:tcMar>
              <w:bottom w:w="0" w:type="dxa"/>
            </w:tcMar>
            <w:vAlign w:val="center"/>
          </w:tcPr>
          <w:p>
            <w:pPr>
              <w:pStyle w:val="TableContents"/>
              <w:bidi w:val="0"/>
              <w:spacing w:before="0" w:after="283"/>
              <w:jc w:val="right"/>
              <w:rPr/>
            </w:pPr>
            <w:r>
              <w:rPr/>
              <w:t>(2,700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pPr>
            <w:r>
              <w:rPr/>
              <w:t>$</w:t>
            </w:r>
          </w:p>
        </w:tc>
        <w:tc>
          <w:tcPr>
            <w:tcW w:w="1122" w:type="dxa"/>
            <w:tcBorders/>
            <w:shd w:fill="CCEEFF" w:val="clear"/>
            <w:tcMar>
              <w:bottom w:w="0" w:type="dxa"/>
            </w:tcMar>
            <w:vAlign w:val="center"/>
          </w:tcPr>
          <w:p>
            <w:pPr>
              <w:pStyle w:val="TableContents"/>
              <w:bidi w:val="0"/>
              <w:spacing w:before="0" w:after="283"/>
              <w:jc w:val="right"/>
              <w:rPr/>
            </w:pPr>
            <w:r>
              <w:rPr/>
              <w:t>1,482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pPr>
            <w:r>
              <w:rPr/>
              <w:t>Up 200 basis points</w:t>
            </w:r>
          </w:p>
        </w:tc>
        <w:tc>
          <w:tcPr>
            <w:tcW w:w="90"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804" w:type="dxa"/>
            <w:tcBorders/>
            <w:tcMar>
              <w:bottom w:w="0" w:type="dxa"/>
            </w:tcMar>
            <w:vAlign w:val="center"/>
          </w:tcPr>
          <w:p>
            <w:pPr>
              <w:pStyle w:val="TableContents"/>
              <w:bidi w:val="0"/>
              <w:spacing w:before="0" w:after="283"/>
              <w:jc w:val="right"/>
              <w:rPr/>
            </w:pPr>
            <w:r>
              <w:rPr/>
              <w:t>2,775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4"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right"/>
              <w:rPr/>
            </w:pPr>
            <w:r>
              <w:rPr/>
              <w:t>(1,800</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22" w:type="dxa"/>
            <w:tcBorders/>
            <w:tcMar>
              <w:bottom w:w="0" w:type="dxa"/>
            </w:tcMar>
            <w:vAlign w:val="center"/>
          </w:tcPr>
          <w:p>
            <w:pPr>
              <w:pStyle w:val="TableContents"/>
              <w:bidi w:val="0"/>
              <w:spacing w:before="0" w:after="283"/>
              <w:jc w:val="left"/>
              <w:rPr/>
            </w:pPr>
            <w:r>
              <w:rPr/>
              <w:t> </w:t>
            </w:r>
          </w:p>
        </w:tc>
        <w:tc>
          <w:tcPr>
            <w:tcW w:w="1122" w:type="dxa"/>
            <w:tcBorders/>
            <w:tcMar>
              <w:bottom w:w="0" w:type="dxa"/>
            </w:tcMar>
            <w:vAlign w:val="center"/>
          </w:tcPr>
          <w:p>
            <w:pPr>
              <w:pStyle w:val="TableContents"/>
              <w:bidi w:val="0"/>
              <w:spacing w:before="0" w:after="283"/>
              <w:jc w:val="right"/>
              <w:rPr/>
            </w:pPr>
            <w:r>
              <w:rPr/>
              <w:t>975</w:t>
            </w:r>
          </w:p>
        </w:tc>
        <w:tc>
          <w:tcPr>
            <w:tcW w:w="170" w:type="dxa"/>
            <w:tcBorders/>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pPr>
            <w:r>
              <w:rPr/>
              <w:t>Up 100 basis points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pPr>
            <w:r>
              <w:rPr/>
              <w:t>1,369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(900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469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pPr>
            <w:r>
              <w:rPr/>
              <w:t>Down 100 basis points</w:t>
            </w:r>
          </w:p>
        </w:tc>
        <w:tc>
          <w:tcPr>
            <w:tcW w:w="90"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804" w:type="dxa"/>
            <w:tcBorders/>
            <w:tcMar>
              <w:bottom w:w="0" w:type="dxa"/>
            </w:tcMar>
            <w:vAlign w:val="center"/>
          </w:tcPr>
          <w:p>
            <w:pPr>
              <w:pStyle w:val="TableContents"/>
              <w:bidi w:val="0"/>
              <w:spacing w:before="0" w:after="283"/>
              <w:jc w:val="right"/>
              <w:rPr/>
            </w:pPr>
            <w:r>
              <w:rPr/>
              <w:t>(1,181</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84"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right"/>
              <w:rPr/>
            </w:pPr>
            <w:r>
              <w:rPr/>
              <w:t>900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22" w:type="dxa"/>
            <w:tcBorders/>
            <w:tcMar>
              <w:bottom w:w="0" w:type="dxa"/>
            </w:tcMar>
            <w:vAlign w:val="center"/>
          </w:tcPr>
          <w:p>
            <w:pPr>
              <w:pStyle w:val="TableContents"/>
              <w:bidi w:val="0"/>
              <w:spacing w:before="0" w:after="283"/>
              <w:jc w:val="left"/>
              <w:rPr/>
            </w:pPr>
            <w:r>
              <w:rPr/>
              <w:t> </w:t>
            </w:r>
          </w:p>
        </w:tc>
        <w:tc>
          <w:tcPr>
            <w:tcW w:w="1122" w:type="dxa"/>
            <w:tcBorders/>
            <w:tcMar>
              <w:bottom w:w="0" w:type="dxa"/>
            </w:tcMar>
            <w:vAlign w:val="center"/>
          </w:tcPr>
          <w:p>
            <w:pPr>
              <w:pStyle w:val="TableContents"/>
              <w:bidi w:val="0"/>
              <w:spacing w:before="0" w:after="283"/>
              <w:jc w:val="right"/>
              <w:rPr/>
            </w:pPr>
            <w:r>
              <w:rPr/>
              <w:t>(281</w:t>
            </w:r>
          </w:p>
        </w:tc>
        <w:tc>
          <w:tcPr>
            <w:tcW w:w="170" w:type="dxa"/>
            <w:tcBorders/>
            <w:tcMar>
              <w:bottom w:w="0" w:type="dxa"/>
            </w:tcMar>
            <w:vAlign w:val="center"/>
          </w:tcPr>
          <w:p>
            <w:pPr>
              <w:pStyle w:val="TableContents"/>
              <w:bidi w:val="0"/>
              <w:spacing w:before="0" w:after="283"/>
              <w:jc w:val="left"/>
              <w:rPr/>
            </w:pPr>
            <w:r>
              <w:rPr/>
              <w:t>)</w:t>
            </w:r>
          </w:p>
        </w:tc>
      </w:tr>
      <w:tr>
        <w:trPr/>
        <w:tc>
          <w:tcPr>
            <w:tcW w:w="2585" w:type="dxa"/>
            <w:tcBorders/>
            <w:shd w:fill="CCEEFF" w:val="clear"/>
            <w:tcMar>
              <w:bottom w:w="0" w:type="dxa"/>
            </w:tcMar>
            <w:vAlign w:val="center"/>
          </w:tcPr>
          <w:p>
            <w:pPr>
              <w:pStyle w:val="TableContents"/>
              <w:bidi w:val="0"/>
              <w:spacing w:before="0" w:after="283"/>
              <w:jc w:val="left"/>
              <w:rPr/>
            </w:pPr>
            <w:r>
              <w:rPr/>
              <w:t>Down 200 basis points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pPr>
            <w:r>
              <w:rPr/>
              <w:t>(2,055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1,800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(255</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2585" w:type="dxa"/>
            <w:tcBorders/>
            <w:tcMar>
              <w:bottom w:w="0" w:type="dxa"/>
            </w:tcMar>
            <w:vAlign w:val="center"/>
          </w:tcPr>
          <w:p>
            <w:pPr>
              <w:pStyle w:val="TableContents"/>
              <w:bidi w:val="0"/>
              <w:spacing w:before="0" w:after="283"/>
              <w:jc w:val="left"/>
              <w:rPr/>
            </w:pPr>
            <w:r>
              <w:rPr/>
              <w:t>Down 300 basis points</w:t>
            </w:r>
          </w:p>
        </w:tc>
        <w:tc>
          <w:tcPr>
            <w:tcW w:w="90"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804" w:type="dxa"/>
            <w:tcBorders/>
            <w:tcMar>
              <w:bottom w:w="0" w:type="dxa"/>
            </w:tcMar>
            <w:vAlign w:val="center"/>
          </w:tcPr>
          <w:p>
            <w:pPr>
              <w:pStyle w:val="TableContents"/>
              <w:bidi w:val="0"/>
              <w:spacing w:before="0" w:after="283"/>
              <w:jc w:val="right"/>
              <w:rPr/>
            </w:pPr>
            <w:r>
              <w:rPr/>
              <w:t>(2,671</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84"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right"/>
              <w:rPr/>
            </w:pPr>
            <w:r>
              <w:rPr/>
              <w:t>2,547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22" w:type="dxa"/>
            <w:tcBorders/>
            <w:tcMar>
              <w:bottom w:w="0" w:type="dxa"/>
            </w:tcMar>
            <w:vAlign w:val="center"/>
          </w:tcPr>
          <w:p>
            <w:pPr>
              <w:pStyle w:val="TableContents"/>
              <w:bidi w:val="0"/>
              <w:spacing w:before="0" w:after="283"/>
              <w:jc w:val="left"/>
              <w:rPr/>
            </w:pPr>
            <w:r>
              <w:rPr/>
              <w:t> </w:t>
            </w:r>
          </w:p>
        </w:tc>
        <w:tc>
          <w:tcPr>
            <w:tcW w:w="1122" w:type="dxa"/>
            <w:tcBorders/>
            <w:tcMar>
              <w:bottom w:w="0" w:type="dxa"/>
            </w:tcMar>
            <w:vAlign w:val="center"/>
          </w:tcPr>
          <w:p>
            <w:pPr>
              <w:pStyle w:val="TableContents"/>
              <w:bidi w:val="0"/>
              <w:spacing w:before="0" w:after="283"/>
              <w:jc w:val="right"/>
              <w:rPr/>
            </w:pPr>
            <w:r>
              <w:rPr/>
              <w:t>(124</w:t>
            </w:r>
          </w:p>
        </w:tc>
        <w:tc>
          <w:tcPr>
            <w:tcW w:w="170" w:type="dxa"/>
            <w:tcBorders/>
            <w:tcMar>
              <w:bottom w:w="0" w:type="dxa"/>
            </w:tcM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290"/>
        <w:gridCol w:w="73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no defaults or prepayments by portfolio companies over the next twelve months.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0" w:name="aa_009"/>
      <w:bookmarkEnd w:id="10"/>
      <w:r>
        <w:rPr>
          <w:rFonts w:ascii="Times New Roman;Times;Serif" w:hAnsi="Times New Roman;Times;Serif"/>
          <w:b/>
          <w:i w:val="false"/>
          <w:caps w:val="false"/>
          <w:smallCaps w:val="false"/>
          <w:sz w:val="20"/>
        </w:rPr>
        <w:t>Item 4. Controls and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our Chief Financial Officer, evaluated the effectiveness of our disclosure controls and procedures as of June 30, 2026. The term “disclosure controls and procedures” is defined under Rules 13a-15(e) and 15d-15(e) under the Securities Exchange Act of 1934 (the “Exchange Act”), as amended. Based on the evaluation of our disclosure controls and procedures as of June 30, 2026, our Chief Executive Officer and Chief Financial Officer concluded that, as of such date, our disclosure controls and procedures were effective.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Controls Over Financial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controls over financial reporting (as defined in Rule 13a-15(f) under the Exchange Act) that occurred during the quarter covered by this report that have materially affected, or are reasonably likely to materially affect, our internal controls over financial reporting.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a_010"/>
      <w:bookmarkEnd w:id="11"/>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2" w:name="aa_011"/>
      <w:bookmarkEnd w:id="12"/>
      <w:r>
        <w:rPr>
          <w:rFonts w:ascii="Times New Roman;Times;Serif" w:hAnsi="Times New Roman;Times;Serif"/>
          <w:b/>
          <w:i w:val="false"/>
          <w:caps w:val="false"/>
          <w:smallCaps w:val="false"/>
          <w:sz w:val="20"/>
        </w:rPr>
        <w:t>Item 1. 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involved in various legal proceedings, lawsuits and claims incidental to the conduct of our business. Our businesses are also subject to extensive regulation, which may result in regulatory proceedings against us. We are not currently party to any material 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3" w:name="aa_012"/>
      <w:bookmarkEnd w:id="13"/>
      <w:r>
        <w:rPr>
          <w:rFonts w:ascii="Times New Roman;Times;Serif" w:hAnsi="Times New Roman;Times;Serif"/>
          <w:b/>
          <w:i w:val="false"/>
          <w:caps w:val="false"/>
          <w:smallCaps w:val="false"/>
          <w:sz w:val="20"/>
        </w:rPr>
        <w:t>Item 1A. Risk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other information set forth in this report, you should carefully consider the “Risk Factors” discussed in our annual report on Form 10-K for the fiscal year ended September 30, 2025, filed with the SEC on December 12, 2025, which could materially affect our business, financial condition and/or operating results. Other than the items disclosed below (which are being re-disclosed in this report in light of the board of directors’ recent approval of the reduced minimum asset coverage ratio), there have been no material changes during the nine months ended June 30, 2026 to the risk factors discussed in “Item 1A. Risk Factors” of our annual report on Form 10-K. Additional risks or uncertainties not currently known to us or that we currently deem to be immaterial also may materially affect our business, financial condition and/or operating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have received the approval of our board of directors, we will be subject to 150% Asset Coverage beginning on May 4, 2027.</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1940 Act generally prohibits us from incurring indebtedness unless immediately after such borrowing we have an asset coverage for total borrowings of at least 200% (i.e., the amount of debt may not exceed 50% of the value of our assets), unless a “required majority” (as such term is defined in Section 57(o) of the 1940 Act) of the board of directors approves reducing such coverage ratio to 150%, if certain requirements are met.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our board of directors approved the application of the reduced asset coverage ratio to us. As a result, we may increase our leverage up to an amount that meets the reduced minimum asset coverage ratio of 150% (i.e., the amount of debt may not exceed 66 2/3% of the value of our assets) beginning on May 4, 2027. We would not necessarily avail ourselves of the added leverage unless additional borrowings are available to us and we are able to amend our Credit Facility to permit additional leverage, which may not be practicable. Leverage magnifies the potential for loss on investments in our indebtedness and on invested equity capital. As we use leverage to partially finance our investments, you experience increased risks of investing in our securities. If the value of our assets increases, then any additional leverage would cause the net asset value attributable to our common stock to increase more sharply than it would have had we not increased our leverage. Conversely, if the value of our assets decreases, any additional leverage would cause net asset value to decline more sharply than it otherwise would have had we not increased our leverage. Similarly, any increase in our income in excess of interest payable on the borrowed funds would cause our net investment income to increase more than it would without the additional leverage, while any decrease in our income would cause net investment income to decline more sharply than it would have had we not increased our leverage. Such a decline could negatively affect our ability to pay common stock dividends, scheduled debt payments or other payments related to our securities. Leverage is generally considered a speculative investment technique. See “Risk Factors - Risks Related to Our Business - Because we finance our investments with borrowed funds, we are exposed to risks typically associated with leverage, potentially magnifying the risk of investing in us” in our annual report on Form 10-K.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use borrowed funds to make investments or fund our business operations, we are exposed to risks typically associated with leverage which increases the risk of investing in us.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borrowed funds, including through the issuance of $57.5 million in aggregate principal amount of 5.25% unsecured notes due November 1, 2028 (the “Notes” or the “2028 Notes”) to leverage our capital structure, which is generally considered a speculative investment technique. In addition, on December 15, 2022, the Company entered into a 3-year $50.0 million revolving credit facility (the “Credit Facility”) with Woodforest National Bank (“Woodforest”), Valley National Bank, and Axiom Bank, (collectively, the “Lenders”), which was amended on February 21, 2024 to increase the principal amount of the loan available under the Credit Facility by $12.5 million to $62.5 million. On August 5, 2024 (the “Second Amendment Effective Date”), in order to increase the size of the Credit Facility, the parties to the Credit Facility amended the Credit Facility, effective as of the Second Amendment Effective Date (the “Second Amendment”). The Second Amendment increased the principal amount of the loan available under the Credit Facility by $25 million to $87.5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“Third Amendment Effective Date”), in order to extend the term and increase the size of the Credit Facility, the parties to the Credit Facility amended the terms of the Credit Facility, effective as of the Third Amendment Effective Date (the “Third Amendment”). The Third Amendment increased the principal amount of the loan available under the Credit Facility by $12.5 million to $100.0 million (with potential access to up to an additional $50.0 million pursuant to an uncommitted accordion provision) and appointed BankUnited, N.A. to assume all agency and syndication responsibilities from the prior agent and lenders. The Amendment also extended the term of the credit facility to April 17, 2030, five years from the Third Amendment Effective Date. Other material terms remain substantially unchanged. As a result: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may be exposed to an increased risk of loss because a decrease in the value of our investments may have a greater negative impact on the value of our common stock than if we did not use leverage;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appropriately match the assets and liabilities of our business, adverse changes in interest rates could reduce or eliminate the incremental income we make with the proceeds of any leverage;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pay distributions on our common stock may be restricted if our asset coverage ratio with respect to each of our outstanding senior securities representing indebtedness and our outstanding preferred shares, as defined by the 1940 Act, is not at least 200% and any amounts used to service indebtedness or preferred stock would not be available for such distributions;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credit facility to which we became a party may be subject to periodic renewal by our lenders, whose continued participation cannot be guaranteed;</w:t>
            </w:r>
          </w:p>
        </w:tc>
      </w:tr>
    </w:tbl>
    <w:p>
      <w:pPr>
        <w:pStyle w:val="TextBody"/>
        <w:bidi w:val="0"/>
        <w:spacing w:before="0" w:after="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105"/>
        <w:gridCol w:w="200"/>
        <w:gridCol w:w="86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credit facility to which we became a party may contain covenants restricting our operating flexibility;</w:t>
            </w:r>
          </w:p>
        </w:tc>
      </w:tr>
    </w:tbl>
    <w:p>
      <w:pPr>
        <w:pStyle w:val="TextBody"/>
        <w:bidi w:val="0"/>
        <w:spacing w:before="0" w:after="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105"/>
        <w:gridCol w:w="200"/>
        <w:gridCol w:w="94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indirectly our stockholders, bear the cost of issuing and paying interest or dividends on such securities;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convertible or exchangeable securities that we issue may have rights, preferences and privileges more favorable than those of our common shares.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provisions of the 1940 Act, we are permitted, as a BDC, to issue debt securities or preferred stock and/or borrow money from banks and other financial institutions, which we collectively refer to as “senior securities”, only in amounts such that our asset coverage ratio equals at least 200% (or 150%) after each issuance of senior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terms of the Notes, see “Management’s Discussion and Analysis of Financial Condition and Results of Operations - Financial Condition, Liquidity and Capital Resources” in our annual report on Form 10-K.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asset coverage was 207.0% after giving effect to leverage and therefore the Company’s asset coverage is above 200%, the minimum asset coverage requirement presently applicable to the Company under the 1940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use debt to finance various investments, changes in interest rates will affect our cost of capital and net investment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borrow money to make certain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event we use our existing debt to finance our investments. In periods of rising interest rates, such as the current period we are in, our cost of funds will increase to the extent we access any credit facility with a floating interest rate, which could reduce our net investment income to the extent any debt investments have fixed interest rates. We expect that our long-term fixed-rate investments will be financed primarily with issuances of equity and long-term debt securities. We may use interest rate risk management techniques in an effort to limit our exposure to interest rate fluctuations. Such techniques may include various interest rate hedging activities to the extent permitted by the 1940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also be aware that, to the extent we make floating debt investments, a rise in the general level of interest rates typically leads to higher interest rates applicable to our debt investments.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borrow money, the potential for loss on amounts invested in us will be magnified and may increase the risk of investing in 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also known as leverage, magnify the potential for loss on invested equity capital. If we use leverage to partially finance our investments, which we have done historically, you will experience increased risks of investing in our securities. We issued the Notes, entered into the Credit Facility, and may issue other debt securities or enter into other types of borrowing arrangements in the future. If the value of our assets decreases, leveraging would cause our NAV to decline more sharply than it otherwise would have had we not leveraged. Similarly, any decrease in our income would cause net income to decline more sharply than it would have had we not borrowed. Such a decline could negatively affect our ability to make common stock distributions or scheduled debt payments. Leverage is generally considered a speculative investment technique and we only intend to use leverage if expected returns will exceed the cost of borrowing.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was $147.5 million of outstanding borrowings. The weighted average interest rate charged on our borrowings as of June 30, 2026 was 5.8% (exclusive of debt issuance costs). We will need to generate sufficient cash flow to make these required interest payments. If we are unable to meet the financial obligations under the Notes, the holders thereof will have the right to declare the principal amount and accrued and unpaid interest on the outstanding Notes to be due and payable immediately. If we are unable to meet the financial obligations under the Credit Facility or any other credit facility we enter into, the lenders thereunder would likely have a superior claim to our assets over our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issue preferred stock, the NAV and market value of our common stock may become more volatile.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preferred stock, we cannot assure you that such issuance would result in a higher yield or return to the holders of our common stock. The issuance of preferred stock would likely cause the NAV and market value of our common stock to become more volatile. If the dividend rate on the preferred stock were to approach the net rate of return on our investment portfolio, the benefit of leverage to the holders of our common stock would be reduced. If the dividend rate on the preferred stock were to exceed the net rate of return on our portfolio, the leverage would result in a lower rate of return to the holders of our common stock than if we had not issued preferred stock. Any decline in the NAV of our investments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This greater NAV decrease would also tend to cause a greater decline in the market price for our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we would pay (and the holders of our common stock would bear) all costs and expenses relating to the issuance and ongoing maintenance of the preferred stock, including higher advisory fees if our total return exceeds the dividend rate on the preferred stock. Holders of preferred stock may have different interests than holders of our common stock and may at times have disproportionate influence over our affairs.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4" w:name="aa_013"/>
      <w:bookmarkEnd w:id="14"/>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5" w:name="aa_014"/>
      <w:bookmarkEnd w:id="15"/>
      <w:r>
        <w:rPr>
          <w:rFonts w:ascii="Times New Roman;Times;Serif" w:hAnsi="Times New Roman;Times;Serif"/>
          <w:b/>
          <w:i w:val="false"/>
          <w:caps w:val="false"/>
          <w:smallCaps w:val="false"/>
          <w:sz w:val="20"/>
        </w:rPr>
        <w:t>Item 3. Defaults Upon Senior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6" w:name="aa_015"/>
      <w:bookmarkEnd w:id="16"/>
      <w:r>
        <w:rPr>
          <w:rFonts w:ascii="Times New Roman;Times;Serif" w:hAnsi="Times New Roman;Times;Serif"/>
          <w:b/>
          <w:i w:val="false"/>
          <w:caps w:val="false"/>
          <w:smallCaps w:val="false"/>
          <w:sz w:val="20"/>
        </w:rPr>
        <w:t>Item 4. Mine Safety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7" w:name="aa_016"/>
      <w:bookmarkEnd w:id="17"/>
      <w:r>
        <w:rPr>
          <w:rFonts w:ascii="Times New Roman;Times;Serif" w:hAnsi="Times New Roman;Times;Serif"/>
          <w:b/>
          <w:i w:val="false"/>
          <w:caps w:val="false"/>
          <w:smallCaps w:val="false"/>
          <w:sz w:val="20"/>
        </w:rPr>
        <w:t>Item 5. Other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8" w:name="aa_017"/>
      <w:bookmarkEnd w:id="18"/>
      <w:r>
        <w:rPr>
          <w:rFonts w:ascii="Times New Roman;Times;Serif" w:hAnsi="Times New Roman;Times;Serif"/>
          <w:b/>
          <w:i w:val="false"/>
          <w:caps w:val="false"/>
          <w:smallCaps w:val="false"/>
          <w:sz w:val="20"/>
        </w:rPr>
        <w:t xml:space="preserve">Item 6. Exhibits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5"/>
        <w:gridCol w:w="90"/>
        <w:gridCol w:w="9690"/>
      </w:tblGrid>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2">
              <w:r>
                <w:rPr>
                  <w:rStyle w:val="InternetLink"/>
                  <w:rFonts w:ascii="Times New Roman;Times;Serif" w:hAnsi="Times New Roman;Times;Serif"/>
                  <w:sz w:val="20"/>
                </w:rPr>
                <w:t>Certificate of Incorporation (Incorporated by reference to Exhibit 99.A.3 to the Registrant’s Pre-effective Amendment No. 3 to the Registration Statement on Form N-2 (File No. 333-166491), filed on November 23, 2010).</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3">
              <w:r>
                <w:rPr>
                  <w:rStyle w:val="InternetLink"/>
                  <w:rFonts w:ascii="Times New Roman;Times;Serif" w:hAnsi="Times New Roman;Times;Serif"/>
                  <w:sz w:val="20"/>
                </w:rPr>
                <w:t>Certificate of Amendment to the Certificate of Incorporation (Incorporated by reference to the Current Report on Form 8-K filed on July 13, 2020).</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3.3</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4">
              <w:r>
                <w:rPr>
                  <w:rStyle w:val="InternetLink"/>
                  <w:rFonts w:ascii="Times New Roman;Times;Serif" w:hAnsi="Times New Roman;Times;Serif"/>
                  <w:sz w:val="20"/>
                </w:rPr>
                <w:t>Certificate of Amendment to Certificate of Incorporation (Incorporated by reference to the Current Report on Form 8-K filed December 28, 2020).</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3.4</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5">
              <w:r>
                <w:rPr>
                  <w:rStyle w:val="InternetLink"/>
                  <w:rFonts w:ascii="Times New Roman;Times;Serif" w:hAnsi="Times New Roman;Times;Serif"/>
                  <w:sz w:val="20"/>
                </w:rPr>
                <w:t>Form of Bylaws (Incorporated by reference to Exhibit 99.B.3 to the Registrant’s Pre-effective Amendment No. 3 to the Registration Statement on Form N-2 (File No. 333-166491), filed on November 23, 2010).</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3.5</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6">
              <w:r>
                <w:rPr>
                  <w:rStyle w:val="InternetLink"/>
                  <w:rFonts w:ascii="Times New Roman;Times;Serif" w:hAnsi="Times New Roman;Times;Serif"/>
                  <w:sz w:val="20"/>
                </w:rPr>
                <w:t>Amendment No. 1 to Bylaws (Incorporated by reference to the Current Report on Form 8-K filed February 7, 2019).</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3.6</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7">
              <w:r>
                <w:rPr>
                  <w:rStyle w:val="InternetLink"/>
                  <w:rFonts w:ascii="Times New Roman;Times;Serif" w:hAnsi="Times New Roman;Times;Serif"/>
                  <w:sz w:val="20"/>
                </w:rPr>
                <w:t>Amendment No. 2 to Bylaws (Incorporated by reference to the Current Report on Form 8-K filed December 28, 2020).</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3.7</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8">
              <w:r>
                <w:rPr>
                  <w:rStyle w:val="InternetLink"/>
                  <w:rFonts w:ascii="Times New Roman;Times;Serif" w:hAnsi="Times New Roman;Times;Serif"/>
                  <w:sz w:val="20"/>
                </w:rPr>
                <w:t>Amendment No. 3 to the Bylaws (Incorporated by reference to the Current Report on Form 8-K filed February 16, 2021).</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9">
              <w:r>
                <w:rPr>
                  <w:rStyle w:val="InternetLink"/>
                  <w:rFonts w:ascii="Times New Roman;Times;Serif" w:hAnsi="Times New Roman;Times;Serif"/>
                  <w:sz w:val="20"/>
                </w:rPr>
                <w:t>Form of Stock Certificate (Incorporated by reference to Exhibit 99.D to the Registrant’s Pre-effective Amendment No. 3 to the Registration Statement on Form N-2 (File No. 333-166491), filed on November 23, 2010).</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0">
              <w:r>
                <w:rPr>
                  <w:rStyle w:val="InternetLink"/>
                  <w:rFonts w:ascii="Times New Roman;Times;Serif" w:hAnsi="Times New Roman;Times;Serif"/>
                  <w:sz w:val="20"/>
                </w:rPr>
                <w:t>Indenture, dated February 7, 2012, between Medley Capital Corporation and U.S. Bank National Association, as Trustee (Incorporated by reference to Exhibit 99.D.2 to the Registrant’s Pre-Effective Amendment No. 1 to the Registration Statement on Form N-2 (File No. 333-179237), filed on February 13, 2012).</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4.3</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1">
              <w:r>
                <w:rPr>
                  <w:rStyle w:val="InternetLink"/>
                  <w:rFonts w:ascii="Times New Roman;Times;Serif" w:hAnsi="Times New Roman;Times;Serif"/>
                  <w:sz w:val="20"/>
                </w:rPr>
                <w:t>First Supplemental Indenture, dated March 21, 2012, between Medley Capital Corporation and U.S. Bank National Association, as Trustee (Incorporated by reference to Exhibit 99.D.4 to the Registrant’s Post-Effective Amendment No. 2 to the Registration Statement on Form N-2 (File No. 333-179237), filed on March 21, 2012).</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2">
              <w:r>
                <w:rPr>
                  <w:rStyle w:val="InternetLink"/>
                  <w:rFonts w:ascii="Times New Roman;Times;Serif" w:hAnsi="Times New Roman;Times;Serif"/>
                  <w:sz w:val="20"/>
                </w:rPr>
                <w:t>Second Supplemental Indenture, dated March 18, 2013, between Medley Capital Corporation and U.S. Bank National Association, as Trustee (Incorporated by reference to Exhibit 99.D.4 to the Registrant’s Post-Effective Amendment No. 7 to the Registration Statement on Form N-2 (File No. 333-179237), filed on March 15, 2013).</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4.5</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3">
              <w:r>
                <w:rPr>
                  <w:rStyle w:val="InternetLink"/>
                  <w:rFonts w:ascii="Times New Roman;Times;Serif" w:hAnsi="Times New Roman;Times;Serif"/>
                  <w:sz w:val="20"/>
                </w:rPr>
                <w:t>Third Supplemental Indenture, dated December 17, 2015, between Medley Capital Corporation and U.S. Bank National Association, as Trustee (Incorporated by reference to Exhibit 99.D.6 to the Registrant’s Post-Effective Amendment No. 11 to the Registration Statement on Form N-2 (File No. 333-187324), filed December 17, 2015).</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4.6</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4">
              <w:r>
                <w:rPr>
                  <w:rStyle w:val="InternetLink"/>
                  <w:rFonts w:ascii="Times New Roman;Times;Serif" w:hAnsi="Times New Roman;Times;Serif"/>
                  <w:sz w:val="20"/>
                </w:rPr>
                <w:t>Fourth Supplemental Indenture, dated November 15, 2021, between PhenixFIN Corporation and U.S. Bank National Association, as Trustee (Incorporated by reference to the Current Report on Form 8-K filed November 15, 2021)</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4.7</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5">
              <w:r>
                <w:rPr>
                  <w:rStyle w:val="InternetLink"/>
                  <w:rFonts w:ascii="Times New Roman;Times;Serif" w:hAnsi="Times New Roman;Times;Serif"/>
                  <w:sz w:val="20"/>
                </w:rPr>
                <w:t>Description of PhenixFIN Corporation’s securities registered pursuant to Section 12 of the Securities Exchange Act of 1934 (Incorporated by reference to the Registrant’s Pre-Effective Amendment No. 1 to the Registration Statement on Form N-2 (File No. 333-258913), filed on October 15, 2021.</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6">
              <w:r>
                <w:rPr>
                  <w:rStyle w:val="InternetLink"/>
                  <w:rFonts w:ascii="Times New Roman;Times;Serif" w:hAnsi="Times New Roman;Times;Serif"/>
                  <w:sz w:val="20"/>
                </w:rPr>
                <w:t>Form of Custody Agreement (Incorporated by reference to Exhibit 99.J.1 to the Registrant’s Pre-effective Amendment No. 3 to the Registration Statement on Form N-2 (File No. 333-166491), filed on November 23, 2010).</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7">
              <w:r>
                <w:rPr>
                  <w:rStyle w:val="InternetLink"/>
                  <w:rFonts w:ascii="Times New Roman;Times;Serif" w:hAnsi="Times New Roman;Times;Serif"/>
                  <w:sz w:val="20"/>
                </w:rPr>
                <w:t>Form of Dividend Reinvestment Plan (Incorporated by reference to Exhibit 99.E to the Registrant’s Pre-effective Amendment No. 3 to the Registration Statement on Form N-2 (File No. 333-166491), filed on November 23, 2010). </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8">
              <w:r>
                <w:rPr>
                  <w:rStyle w:val="InternetLink"/>
                  <w:rFonts w:ascii="Times New Roman;Times;Serif" w:hAnsi="Times New Roman;Times;Serif"/>
                  <w:sz w:val="20"/>
                </w:rPr>
                <w:t>Settlement Term Sheet, dated April 15, 2019 (Incorporated by reference to the Current Report on Form 8-K, filed on April 17, 2019).</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9">
              <w:r>
                <w:rPr>
                  <w:rStyle w:val="InternetLink"/>
                  <w:rFonts w:ascii="Times New Roman;Times;Serif" w:hAnsi="Times New Roman;Times;Serif"/>
                  <w:sz w:val="20"/>
                </w:rPr>
                <w:t>Stipulation of Settlement, dated July 29, 2019, by and among Medley Capital Corporation, Brook Taube, Seth Taube, Jeff Tonkel, Mark Lerdal, Karin Hirtler-Garvey, John E. Mack, Arthur S. Ainsberg, Medley Management Inc., MCC Advisors LLC, Medley LLC and Medley Group LLC, on the one hand, and FrontFour Capital Group LLC and FrontFour Master Fund, Ltd., on behalf of themselves and a class of similarly situated stockholders of Medley Capital Corporation, on the other hand, in connection with the action styled In re Medley Capital Corporation Stockholder Litigation, Cons. C.A. No. 2019-0100-KSJM (Incorporated by reference to the Current Report on Form 8-K, filed on August 2, 2019).</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10.5</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20">
              <w:r>
                <w:rPr>
                  <w:rStyle w:val="InternetLink"/>
                  <w:rFonts w:ascii="Times New Roman;Times;Serif" w:hAnsi="Times New Roman;Times;Serif"/>
                  <w:sz w:val="20"/>
                </w:rPr>
                <w:t>Governance Agreement, dated July 29, 2019, by and among, Medley Capital Corporation, on the one hand, and FrontFour Capital Group LLC, FrontFour Master Fund, Ltd., FrontFour Capital Corp., FrontFour Opportunity Fund, David A. Lorber, Stephen E. Loukas and Zachary R. George, on the other hand (Incorporated by reference to the Current Report on Form 8-K, filed on August 2, 2019).</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10.6</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21">
              <w:r>
                <w:rPr>
                  <w:rStyle w:val="InternetLink"/>
                  <w:rFonts w:ascii="Times New Roman;Times;Serif" w:hAnsi="Times New Roman;Times;Serif"/>
                  <w:sz w:val="20"/>
                </w:rPr>
                <w:t>Standstill Agreement, dated as of August 19, 2020, by and between the Medley Capital Corporation and Howard Amster and the other persons and entities identified therein (Incorporated by reference to the Current Report on Form 8-K filed on August 21, 2020).</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8"/>
        <w:gridCol w:w="90"/>
        <w:gridCol w:w="9437"/>
      </w:tblGrid>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10.7</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2">
              <w:r>
                <w:rPr>
                  <w:rStyle w:val="InternetLink"/>
                  <w:rFonts w:ascii="Times New Roman;Times;Serif" w:hAnsi="Times New Roman;Times;Serif"/>
                  <w:sz w:val="20"/>
                </w:rPr>
                <w:t>Fund Accounting Servicing Agreement, dated November 19, 2020, by and between Medley Capital Corporation and U.S. Bancorp Fund Services, LLC (Incorporated by reference to Exhibit 10.16 to the Annual Report on Form 10-K filed on December 11, 2020).</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10.8</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3">
              <w:r>
                <w:rPr>
                  <w:rStyle w:val="InternetLink"/>
                  <w:rFonts w:ascii="Times New Roman;Times;Serif" w:hAnsi="Times New Roman;Times;Serif"/>
                  <w:sz w:val="20"/>
                </w:rPr>
                <w:t>Administration Servicing Agreement, dated November 19, 2020, by and between Medley Capital Corporation and U.S. Bancorp Fund Services, LLC (Incorporated by reference to Exhibit 10.17 to the Annual Report on Form 10-K filed on December 11, 2020).</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10.9</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4">
              <w:r>
                <w:rPr>
                  <w:rStyle w:val="InternetLink"/>
                  <w:rFonts w:ascii="Times New Roman;Times;Serif" w:hAnsi="Times New Roman;Times;Serif"/>
                  <w:sz w:val="20"/>
                </w:rPr>
                <w:t>PhenixFIN Long Term Cash Incentive Plan (Incorporated by reference to Exhibit 10.9 to the Quarterly Report on Form 10-Q filed on May 9, 2022).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10.10</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5">
              <w:r>
                <w:rPr>
                  <w:rStyle w:val="InternetLink"/>
                  <w:rFonts w:ascii="Times New Roman;Times;Serif" w:hAnsi="Times New Roman;Times;Serif"/>
                  <w:sz w:val="20"/>
                </w:rPr>
                <w:t>First Amendment to the PhenixFIN Long Term Cash Incentive Plan. (Incorporated by reference to Exhibit 10.10 to the Quarterly Report on Form 10-Q filed on February 9, 2023).</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10.11</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6">
              <w:r>
                <w:rPr>
                  <w:rStyle w:val="InternetLink"/>
                  <w:rFonts w:ascii="Times New Roman;Times;Serif" w:hAnsi="Times New Roman;Times;Serif"/>
                  <w:sz w:val="20"/>
                </w:rPr>
                <w:t>Form of Award Agreement (Incorporated by reference to Exhibit 10.10 to the Quarterly Report on Form 10-Q filed on May 9, 2022).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10.12</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7">
              <w:r>
                <w:rPr>
                  <w:rStyle w:val="InternetLink"/>
                  <w:rFonts w:ascii="Times New Roman;Times;Serif" w:hAnsi="Times New Roman;Times;Serif"/>
                  <w:sz w:val="20"/>
                </w:rPr>
                <w:t>Credit Agreement, dated December 15, 2022, between PhenixFIN Corporation and Woodforest National Bank, as Administrative Agent. (Incorporated by reference to Exhibit 10.11 to the Annual Report on Form 10-K filed December 16, 2022).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10.13</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8">
              <w:r>
                <w:rPr>
                  <w:rStyle w:val="InternetLink"/>
                  <w:rFonts w:ascii="Times New Roman;Times;Serif" w:hAnsi="Times New Roman;Times;Serif"/>
                  <w:sz w:val="20"/>
                </w:rPr>
                <w:t xml:space="preserve">First Amendment to Credit Agreement and Consent, dated February 21, 2024, between PhenixFIN Corporation and Woodforest National Bank, as Administrative Agent (Incorporated by reference to Exhibit 10.13 to the Quarterly Report on Form 10-Q filed on May 10, 2024) </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10.14</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9">
              <w:r>
                <w:rPr>
                  <w:rStyle w:val="InternetLink"/>
                  <w:rFonts w:ascii="Times New Roman;Times;Serif" w:hAnsi="Times New Roman;Times;Serif"/>
                  <w:sz w:val="20"/>
                </w:rPr>
                <w:t>Second Amendment to Credit Agreement and Consent, dated August 5, 2024, between PhenixFIN Corporation and Woodforest National Bank, as Administrative Agent (Incorporated by reference to Exhibit 10.13 to the Annual Report on Form 10-K filed on December 17, 2024)</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10.15</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30">
              <w:r>
                <w:rPr>
                  <w:rStyle w:val="InternetLink"/>
                  <w:rFonts w:ascii="Times New Roman;Times;Serif" w:hAnsi="Times New Roman;Times;Serif"/>
                  <w:sz w:val="20"/>
                </w:rPr>
                <w:t>Loan Administration and Custodial Agreement, dated September 12, 2022 by and between PhenixFIN Corp. and Computershare Trust Company, N.A. (Incorporated by reference to Exhibit 10.10 to the Annual Report on Form 10-K filed on December 16, 2022).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10.16</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31">
              <w:r>
                <w:rPr>
                  <w:rStyle w:val="InternetLink"/>
                  <w:rFonts w:ascii="Times New Roman;Times;Serif" w:hAnsi="Times New Roman;Times;Serif"/>
                  <w:sz w:val="20"/>
                </w:rPr>
                <w:t>Pledge and Security Agreement, dated December 15, 2022 by and between PhenixFIN Corporation and Woodforest National Bank (Incorporated by reference to Exhibit 10.12 to the Annual Report on Form 10-K filed on December 16, 2022).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10.17</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32">
              <w:r>
                <w:rPr>
                  <w:rStyle w:val="InternetLink"/>
                  <w:rFonts w:ascii="Times New Roman;Times;Serif" w:hAnsi="Times New Roman;Times;Serif"/>
                  <w:sz w:val="20"/>
                </w:rPr>
                <w:t>Services Agreement, dated August 9, 2022, by and between PhenixFIN Corp. and SS&amp;C Technologies, Inc. (Incorporated by reference to Exhibit 10.9 to the Annual Report on Form 10-K filed on December 16, 2022).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10.18</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33">
              <w:r>
                <w:rPr>
                  <w:rStyle w:val="InternetLink"/>
                  <w:rFonts w:ascii="Times New Roman;Times;Serif" w:hAnsi="Times New Roman;Times;Serif"/>
                  <w:sz w:val="20"/>
                </w:rPr>
                <w:t>Third Amendment to Credit Agreement, dated April 17, 2025, between PhenixFIN Corporation and BankUnited, N.A., as Administrative Agent. (Incorporated by reference to Exhibit 10.18 to the Quarterly Report on Form 10-Q filed on August 6, 2025)</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14.1</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34">
              <w:r>
                <w:rPr>
                  <w:rStyle w:val="InternetLink"/>
                  <w:rFonts w:ascii="Times New Roman;Times;Serif" w:hAnsi="Times New Roman;Times;Serif"/>
                  <w:sz w:val="20"/>
                </w:rPr>
                <w:t>Code of Ethics &amp; Insider Trading Policy of the Registrant (Incorporated by reference to Exhibit 99.R to the Registrant’s Registration Statement on Form N-2 (File No. 333-258913), filed on August 19, 2021).</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35">
              <w:r>
                <w:rPr>
                  <w:rStyle w:val="InternetLink"/>
                  <w:rFonts w:ascii="Times New Roman;Times;Serif" w:hAnsi="Times New Roman;Times;Serif"/>
                  <w:sz w:val="20"/>
                </w:rPr>
                <w:t>List of Subsidiaries (Incorporated by reference to Exhibit 21.1 of the Quarterly Report on Form 10-Q filed on February 10, 2022).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w:anchor="ea029885601ex31-1.htm">
              <w:r>
                <w:rPr>
                  <w:rStyle w:val="InternetLink"/>
                  <w:rFonts w:ascii="Times New Roman;Times;Serif" w:hAnsi="Times New Roman;Times;Serif"/>
                  <w:sz w:val="20"/>
                </w:rPr>
                <w:t>Certification of Chief Executive Officer pursuant to Rule 13a-14 of the Securities Exchange Act of 1934, as amended.*</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w:anchor="ea029885601ex31-2.htm">
              <w:r>
                <w:rPr>
                  <w:rStyle w:val="InternetLink"/>
                  <w:rFonts w:ascii="Times New Roman;Times;Serif" w:hAnsi="Times New Roman;Times;Serif"/>
                  <w:sz w:val="20"/>
                </w:rPr>
                <w:t>Certification of Chief Financial Officer pursuant to Rule 13a-14 of the Securities Exchange Act of 1934, as amended.*</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32.1</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w:anchor="ea029885601ex32-1.htm">
              <w:r>
                <w:rPr>
                  <w:rStyle w:val="InternetLink"/>
                  <w:rFonts w:ascii="Times New Roman;Times;Serif" w:hAnsi="Times New Roman;Times;Serif"/>
                  <w:sz w:val="20"/>
                </w:rPr>
                <w:t>Certification of Chief Executive Officer and Chief Financial Officer pursuant to section 906 of the Sarbanes-Oxley Act of 2002.*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36">
              <w:r>
                <w:rPr>
                  <w:rStyle w:val="InternetLink"/>
                  <w:rFonts w:ascii="Times New Roman;Times;Serif" w:hAnsi="Times New Roman;Times;Serif"/>
                  <w:sz w:val="20"/>
                </w:rPr>
                <w:t>Notice of Redemption to the Holders of the 6.125% Senior Notes due 2023, dated December 15, 2022 (Incorporated by reference to Exhibit 99.1 to the Annual Report on Form 10-K filed on December 16, 2022).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90" w:type="dxa"/>
            <w:tcBorders/>
            <w:shd w:fill="CCEEFF" w:val="clear"/>
            <w:vAlign w:val="center"/>
          </w:tcPr>
          <w:p>
            <w:pPr>
              <w:pStyle w:val="TableContents"/>
              <w:bidi w:val="0"/>
              <w:spacing w:before="0" w:after="283"/>
              <w:jc w:val="left"/>
              <w:rPr/>
            </w:pPr>
            <w:r>
              <w:rPr/>
              <w:t> </w:t>
            </w:r>
          </w:p>
        </w:tc>
        <w:tc>
          <w:tcPr>
            <w:tcW w:w="9437" w:type="dxa"/>
            <w:tcBorders/>
            <w:shd w:fill="CCEEFF" w:val="clear"/>
            <w:vAlign w:val="center"/>
          </w:tcPr>
          <w:p>
            <w:pPr>
              <w:pStyle w:val="TableContents"/>
              <w:bidi w:val="0"/>
              <w:spacing w:before="0" w:after="283"/>
              <w:jc w:val="both"/>
              <w:rPr/>
            </w:pPr>
            <w:hyperlink r:id="rId37">
              <w:r>
                <w:rPr>
                  <w:rStyle w:val="InternetLink"/>
                  <w:rFonts w:ascii="Times New Roman;Times;Serif" w:hAnsi="Times New Roman;Times;Serif"/>
                  <w:sz w:val="20"/>
                </w:rPr>
                <w:t>PhenixFIN Compensation Clawback Policy and Procedures (Incorporated by reference to Exhibit 99.3 to the Annual Report on Form 10-K filed on December 22, 2023).</w:t>
              </w:r>
            </w:hyperlink>
          </w:p>
        </w:tc>
      </w:tr>
      <w:tr>
        <w:trPr/>
        <w:tc>
          <w:tcPr>
            <w:tcW w:w="6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37" w:type="dxa"/>
            <w:tcBorders/>
            <w:vAlign w:val="center"/>
          </w:tcPr>
          <w:p>
            <w:pPr>
              <w:pStyle w:val="TableContents"/>
              <w:bidi w:val="0"/>
              <w:spacing w:before="0" w:after="283"/>
              <w:jc w:val="left"/>
              <w:rPr/>
            </w:pPr>
            <w:r>
              <w:rPr/>
              <w:t> </w:t>
            </w:r>
          </w:p>
        </w:tc>
      </w:tr>
      <w:tr>
        <w:trPr/>
        <w:tc>
          <w:tcPr>
            <w:tcW w:w="6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0" w:type="dxa"/>
            <w:tcBorders/>
            <w:shd w:fill="CCEEFF" w:val="clear"/>
            <w:vAlign w:val="center"/>
          </w:tcPr>
          <w:p>
            <w:pPr>
              <w:pStyle w:val="TableContents"/>
              <w:bidi w:val="0"/>
              <w:spacing w:before="0" w:after="283"/>
              <w:jc w:val="left"/>
              <w:rPr/>
            </w:pPr>
            <w:r>
              <w:rPr/>
              <w:t> </w:t>
            </w:r>
          </w:p>
        </w:tc>
        <w:tc>
          <w:tcPr>
            <w:tcW w:w="94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6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37" w:type="dxa"/>
            <w:tcBorders/>
            <w:vAlign w:val="center"/>
          </w:tcPr>
          <w:p>
            <w:pPr>
              <w:pStyle w:val="TableContents"/>
              <w:bidi w:val="0"/>
              <w:spacing w:before="0" w:after="283"/>
              <w:jc w:val="left"/>
              <w:rPr/>
            </w:pPr>
            <w:r>
              <w:rPr/>
              <w:t> </w:t>
            </w:r>
          </w:p>
        </w:tc>
      </w:tr>
      <w:tr>
        <w:trPr/>
        <w:tc>
          <w:tcPr>
            <w:tcW w:w="6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shd w:fill="CCEEFF" w:val="clear"/>
            <w:vAlign w:val="center"/>
          </w:tcPr>
          <w:p>
            <w:pPr>
              <w:pStyle w:val="TableContents"/>
              <w:bidi w:val="0"/>
              <w:spacing w:before="0" w:after="283"/>
              <w:jc w:val="left"/>
              <w:rPr/>
            </w:pPr>
            <w:r>
              <w:rPr/>
              <w:t> </w:t>
            </w:r>
          </w:p>
        </w:tc>
        <w:tc>
          <w:tcPr>
            <w:tcW w:w="94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37" w:type="dxa"/>
            <w:tcBorders/>
            <w:vAlign w:val="center"/>
          </w:tcPr>
          <w:p>
            <w:pPr>
              <w:pStyle w:val="TableContents"/>
              <w:bidi w:val="0"/>
              <w:spacing w:before="0" w:after="283"/>
              <w:jc w:val="left"/>
              <w:rPr/>
            </w:pPr>
            <w:r>
              <w:rPr/>
              <w:t> </w:t>
            </w:r>
          </w:p>
        </w:tc>
      </w:tr>
      <w:tr>
        <w:trPr/>
        <w:tc>
          <w:tcPr>
            <w:tcW w:w="6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90" w:type="dxa"/>
            <w:tcBorders/>
            <w:shd w:fill="CCEEFF" w:val="clear"/>
            <w:vAlign w:val="center"/>
          </w:tcPr>
          <w:p>
            <w:pPr>
              <w:pStyle w:val="TableContents"/>
              <w:bidi w:val="0"/>
              <w:spacing w:before="0" w:after="283"/>
              <w:jc w:val="left"/>
              <w:rPr/>
            </w:pPr>
            <w:r>
              <w:rPr/>
              <w:t> </w:t>
            </w:r>
          </w:p>
        </w:tc>
        <w:tc>
          <w:tcPr>
            <w:tcW w:w="94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37" w:type="dxa"/>
            <w:tcBorders/>
            <w:vAlign w:val="center"/>
          </w:tcPr>
          <w:p>
            <w:pPr>
              <w:pStyle w:val="TableContents"/>
              <w:bidi w:val="0"/>
              <w:spacing w:before="0" w:after="283"/>
              <w:jc w:val="left"/>
              <w:rPr/>
            </w:pPr>
            <w:r>
              <w:rPr/>
              <w:t> </w:t>
            </w:r>
          </w:p>
        </w:tc>
      </w:tr>
      <w:tr>
        <w:trPr/>
        <w:tc>
          <w:tcPr>
            <w:tcW w:w="6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90" w:type="dxa"/>
            <w:tcBorders/>
            <w:shd w:fill="CCEEFF" w:val="clear"/>
            <w:vAlign w:val="center"/>
          </w:tcPr>
          <w:p>
            <w:pPr>
              <w:pStyle w:val="TableContents"/>
              <w:bidi w:val="0"/>
              <w:spacing w:before="0" w:after="283"/>
              <w:jc w:val="left"/>
              <w:rPr/>
            </w:pPr>
            <w:r>
              <w:rPr/>
              <w:t> </w:t>
            </w:r>
          </w:p>
        </w:tc>
        <w:tc>
          <w:tcPr>
            <w:tcW w:w="94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37" w:type="dxa"/>
            <w:tcBorders/>
            <w:vAlign w:val="center"/>
          </w:tcPr>
          <w:p>
            <w:pPr>
              <w:pStyle w:val="TableContents"/>
              <w:bidi w:val="0"/>
              <w:spacing w:before="0" w:after="283"/>
              <w:jc w:val="left"/>
              <w:rPr/>
            </w:pPr>
            <w:r>
              <w:rPr/>
              <w:t> </w:t>
            </w:r>
          </w:p>
        </w:tc>
      </w:tr>
      <w:tr>
        <w:trPr/>
        <w:tc>
          <w:tcPr>
            <w:tcW w:w="6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90" w:type="dxa"/>
            <w:tcBorders/>
            <w:shd w:fill="CCEEFF" w:val="clear"/>
            <w:vAlign w:val="center"/>
          </w:tcPr>
          <w:p>
            <w:pPr>
              <w:pStyle w:val="TableContents"/>
              <w:bidi w:val="0"/>
              <w:spacing w:before="0" w:after="283"/>
              <w:jc w:val="left"/>
              <w:rPr/>
            </w:pPr>
            <w:r>
              <w:rPr/>
              <w:t> </w:t>
            </w:r>
          </w:p>
        </w:tc>
        <w:tc>
          <w:tcPr>
            <w:tcW w:w="94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37" w:type="dxa"/>
            <w:tcBorders/>
            <w:vAlign w:val="center"/>
          </w:tcPr>
          <w:p>
            <w:pPr>
              <w:pStyle w:val="TableContents"/>
              <w:bidi w:val="0"/>
              <w:spacing w:before="0" w:after="283"/>
              <w:jc w:val="left"/>
              <w:rPr/>
            </w:pPr>
            <w:r>
              <w:rPr/>
              <w:t> </w:t>
            </w:r>
          </w:p>
        </w:tc>
      </w:tr>
      <w:tr>
        <w:trPr/>
        <w:tc>
          <w:tcPr>
            <w:tcW w:w="6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90" w:type="dxa"/>
            <w:tcBorders/>
            <w:shd w:fill="CCEEFF" w:val="clear"/>
            <w:vAlign w:val="center"/>
          </w:tcPr>
          <w:p>
            <w:pPr>
              <w:pStyle w:val="TableContents"/>
              <w:bidi w:val="0"/>
              <w:spacing w:before="0" w:after="283"/>
              <w:jc w:val="left"/>
              <w:rPr/>
            </w:pPr>
            <w:r>
              <w:rPr/>
              <w:t> </w:t>
            </w:r>
          </w:p>
        </w:tc>
        <w:tc>
          <w:tcPr>
            <w:tcW w:w="94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37" w:type="dxa"/>
            <w:tcBorders/>
            <w:vAlign w:val="center"/>
          </w:tcPr>
          <w:p>
            <w:pPr>
              <w:pStyle w:val="TableContents"/>
              <w:bidi w:val="0"/>
              <w:spacing w:before="0" w:after="283"/>
              <w:jc w:val="left"/>
              <w:rPr/>
            </w:pPr>
            <w:r>
              <w:rPr/>
              <w:t> </w:t>
            </w:r>
          </w:p>
        </w:tc>
      </w:tr>
      <w:tr>
        <w:trPr/>
        <w:tc>
          <w:tcPr>
            <w:tcW w:w="6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vAlign w:val="center"/>
          </w:tcPr>
          <w:p>
            <w:pPr>
              <w:pStyle w:val="TableContents"/>
              <w:bidi w:val="0"/>
              <w:spacing w:before="0" w:after="283"/>
              <w:jc w:val="left"/>
              <w:rPr/>
            </w:pPr>
            <w:r>
              <w:rPr/>
              <w:t> </w:t>
            </w:r>
          </w:p>
        </w:tc>
        <w:tc>
          <w:tcPr>
            <w:tcW w:w="94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 and included in Exhibit 101)</w:t>
            </w:r>
          </w:p>
        </w:tc>
      </w:tr>
    </w:tbl>
    <w:p>
      <w:pPr>
        <w:pStyle w:val="TextBody"/>
        <w:bidi w:val="0"/>
        <w:spacing w:before="0" w:after="0"/>
        <w:jc w:val="center"/>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170"/>
        <w:gridCol w:w="1310"/>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9" w:name="aa_018"/>
      <w:bookmarkEnd w:id="19"/>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caps w:val="false"/>
          <w:smallCaps w:val="false"/>
        </w:rPr>
      </w:pPr>
      <w:r>
        <w:rPr>
          <w:caps w:val="false"/>
          <w:smallCaps w:val="false"/>
        </w:rPr>
        <w:t> </w:t>
      </w:r>
    </w:p>
    <w:tbl>
      <w:tblPr>
        <w:tblW w:w="5940" w:type="dxa"/>
        <w:jc w:val="left"/>
        <w:tblInd w:w="0" w:type="dxa"/>
        <w:tblLayout w:type="fixed"/>
        <w:tblCellMar>
          <w:top w:w="0" w:type="dxa"/>
          <w:left w:w="0" w:type="dxa"/>
          <w:bottom w:w="0" w:type="dxa"/>
          <w:right w:w="0" w:type="dxa"/>
        </w:tblCellMar>
      </w:tblPr>
      <w:tblGrid>
        <w:gridCol w:w="1895"/>
        <w:gridCol w:w="335"/>
        <w:gridCol w:w="3710"/>
      </w:tblGrid>
      <w:tr>
        <w:trPr/>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5, 2026</w:t>
            </w:r>
          </w:p>
        </w:tc>
        <w:tc>
          <w:tcPr>
            <w:tcW w:w="404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895" w:type="dxa"/>
            <w:tcBorders/>
            <w:vAlign w:val="center"/>
          </w:tcPr>
          <w:p>
            <w:pPr>
              <w:pStyle w:val="TableContents"/>
              <w:bidi w:val="0"/>
              <w:spacing w:before="0" w:after="283"/>
              <w:jc w:val="both"/>
              <w:rPr>
                <w:caps w:val="false"/>
                <w:smallCaps w:val="false"/>
              </w:rPr>
            </w:pPr>
            <w:r>
              <w:rPr>
                <w:caps w:val="false"/>
                <w:smallCaps w:val="false"/>
              </w:rPr>
              <w:t> </w:t>
            </w:r>
          </w:p>
        </w:tc>
        <w:tc>
          <w:tcPr>
            <w:tcW w:w="404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895" w:type="dxa"/>
            <w:tcBorders/>
            <w:vAlign w:val="center"/>
          </w:tcPr>
          <w:p>
            <w:pPr>
              <w:pStyle w:val="TableContents"/>
              <w:bidi w:val="0"/>
              <w:spacing w:before="0" w:after="283"/>
              <w:jc w:val="both"/>
              <w:rPr>
                <w:caps w:val="false"/>
                <w:smallCaps w:val="false"/>
              </w:rPr>
            </w:pPr>
            <w:r>
              <w:rPr>
                <w:caps w:val="false"/>
                <w:smallCaps w:val="false"/>
              </w:rPr>
              <w:t> </w:t>
            </w:r>
          </w:p>
        </w:tc>
        <w:tc>
          <w:tcPr>
            <w:tcW w:w="404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tc>
      </w:tr>
      <w:tr>
        <w:trPr/>
        <w:tc>
          <w:tcPr>
            <w:tcW w:w="1895" w:type="dxa"/>
            <w:tcBorders/>
            <w:vAlign w:val="center"/>
          </w:tcPr>
          <w:p>
            <w:pPr>
              <w:pStyle w:val="TableContents"/>
              <w:bidi w:val="0"/>
              <w:spacing w:before="0" w:after="283"/>
              <w:jc w:val="both"/>
              <w:rPr>
                <w:caps w:val="false"/>
                <w:smallCaps w:val="false"/>
              </w:rPr>
            </w:pPr>
            <w:r>
              <w:rPr>
                <w:caps w:val="false"/>
                <w:smallCaps w:val="false"/>
              </w:rPr>
              <w:t> </w:t>
            </w:r>
          </w:p>
        </w:tc>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3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5" w:type="dxa"/>
            <w:tcBorders/>
            <w:vAlign w:val="center"/>
          </w:tcPr>
          <w:p>
            <w:pPr>
              <w:pStyle w:val="TableContents"/>
              <w:bidi w:val="0"/>
              <w:spacing w:before="0" w:after="283"/>
              <w:jc w:val="both"/>
              <w:rPr>
                <w:caps w:val="false"/>
                <w:smallCaps w:val="false"/>
              </w:rPr>
            </w:pPr>
            <w:r>
              <w:rPr>
                <w:caps w:val="false"/>
                <w:smallCaps w:val="false"/>
              </w:rPr>
              <w:t> </w:t>
            </w:r>
          </w:p>
        </w:tc>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1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Lorber</w:t>
            </w:r>
          </w:p>
        </w:tc>
      </w:tr>
      <w:tr>
        <w:trPr/>
        <w:tc>
          <w:tcPr>
            <w:tcW w:w="1895" w:type="dxa"/>
            <w:tcBorders/>
            <w:vAlign w:val="center"/>
          </w:tcPr>
          <w:p>
            <w:pPr>
              <w:pStyle w:val="TableContents"/>
              <w:bidi w:val="0"/>
              <w:spacing w:before="0" w:after="283"/>
              <w:jc w:val="both"/>
              <w:rPr>
                <w:caps w:val="false"/>
                <w:smallCaps w:val="false"/>
              </w:rPr>
            </w:pPr>
            <w:r>
              <w:rPr>
                <w:caps w:val="false"/>
                <w:smallCaps w:val="false"/>
              </w:rPr>
              <w:t> </w:t>
            </w:r>
          </w:p>
        </w:tc>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Lorber</w:t>
            </w:r>
          </w:p>
        </w:tc>
      </w:tr>
      <w:tr>
        <w:trPr/>
        <w:tc>
          <w:tcPr>
            <w:tcW w:w="1895" w:type="dxa"/>
            <w:tcBorders/>
            <w:vAlign w:val="center"/>
          </w:tcPr>
          <w:p>
            <w:pPr>
              <w:pStyle w:val="TableContents"/>
              <w:bidi w:val="0"/>
              <w:spacing w:before="0" w:after="283"/>
              <w:jc w:val="both"/>
              <w:rPr>
                <w:caps w:val="false"/>
                <w:smallCaps w:val="false"/>
              </w:rPr>
            </w:pPr>
            <w:r>
              <w:rPr>
                <w:caps w:val="false"/>
                <w:smallCaps w:val="false"/>
              </w:rPr>
              <w:t> </w:t>
            </w:r>
          </w:p>
        </w:tc>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95" w:type="dxa"/>
            <w:tcBorders/>
            <w:vAlign w:val="center"/>
          </w:tcPr>
          <w:p>
            <w:pPr>
              <w:pStyle w:val="TableContents"/>
              <w:bidi w:val="0"/>
              <w:spacing w:before="0" w:after="283"/>
              <w:jc w:val="both"/>
              <w:rPr>
                <w:caps w:val="false"/>
                <w:smallCaps w:val="false"/>
              </w:rPr>
            </w:pPr>
            <w:r>
              <w:rPr>
                <w:caps w:val="false"/>
                <w:smallCaps w:val="false"/>
              </w:rPr>
              <w:t> </w:t>
            </w:r>
          </w:p>
        </w:tc>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895" w:type="dxa"/>
            <w:tcBorders/>
            <w:vAlign w:val="center"/>
          </w:tcPr>
          <w:p>
            <w:pPr>
              <w:pStyle w:val="TableContents"/>
              <w:bidi w:val="0"/>
              <w:spacing w:before="0" w:after="283"/>
              <w:jc w:val="both"/>
              <w:rPr>
                <w:caps w:val="false"/>
                <w:smallCaps w:val="false"/>
              </w:rPr>
            </w:pPr>
            <w:r>
              <w:rPr>
                <w:caps w:val="false"/>
                <w:smallCaps w:val="false"/>
              </w:rPr>
              <w:t> </w:t>
            </w:r>
          </w:p>
        </w:tc>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3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5" w:type="dxa"/>
            <w:tcBorders/>
            <w:vAlign w:val="center"/>
          </w:tcPr>
          <w:p>
            <w:pPr>
              <w:pStyle w:val="TableContents"/>
              <w:bidi w:val="0"/>
              <w:spacing w:before="0" w:after="283"/>
              <w:jc w:val="both"/>
              <w:rPr>
                <w:caps w:val="false"/>
                <w:smallCaps w:val="false"/>
              </w:rPr>
            </w:pPr>
            <w:r>
              <w:rPr>
                <w:caps w:val="false"/>
                <w:smallCaps w:val="false"/>
              </w:rPr>
              <w:t> </w:t>
            </w:r>
          </w:p>
        </w:tc>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71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Ellida McMillan</w:t>
            </w:r>
          </w:p>
        </w:tc>
      </w:tr>
      <w:tr>
        <w:trPr/>
        <w:tc>
          <w:tcPr>
            <w:tcW w:w="1895" w:type="dxa"/>
            <w:tcBorders/>
            <w:vAlign w:val="center"/>
          </w:tcPr>
          <w:p>
            <w:pPr>
              <w:pStyle w:val="TableContents"/>
              <w:bidi w:val="0"/>
              <w:spacing w:before="0" w:after="283"/>
              <w:jc w:val="both"/>
              <w:rPr>
                <w:caps w:val="false"/>
                <w:smallCaps w:val="false"/>
              </w:rPr>
            </w:pPr>
            <w:r>
              <w:rPr>
                <w:caps w:val="false"/>
                <w:smallCaps w:val="false"/>
              </w:rPr>
              <w:t> </w:t>
            </w:r>
          </w:p>
        </w:tc>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Ellida McMillan</w:t>
            </w:r>
          </w:p>
        </w:tc>
      </w:tr>
      <w:tr>
        <w:trPr/>
        <w:tc>
          <w:tcPr>
            <w:tcW w:w="1895" w:type="dxa"/>
            <w:tcBorders/>
            <w:vAlign w:val="center"/>
          </w:tcPr>
          <w:p>
            <w:pPr>
              <w:pStyle w:val="TableContents"/>
              <w:bidi w:val="0"/>
              <w:spacing w:before="0" w:after="283"/>
              <w:jc w:val="both"/>
              <w:rPr>
                <w:caps w:val="false"/>
                <w:smallCaps w:val="false"/>
              </w:rPr>
            </w:pPr>
            <w:r>
              <w:rPr>
                <w:caps w:val="false"/>
                <w:smallCaps w:val="false"/>
              </w:rPr>
              <w:t> </w:t>
            </w:r>
          </w:p>
        </w:tc>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95" w:type="dxa"/>
            <w:tcBorders/>
            <w:vAlign w:val="center"/>
          </w:tcPr>
          <w:p>
            <w:pPr>
              <w:pStyle w:val="TableContents"/>
              <w:bidi w:val="0"/>
              <w:spacing w:before="0" w:after="283"/>
              <w:jc w:val="both"/>
              <w:rPr>
                <w:caps w:val="false"/>
                <w:smallCaps w:val="false"/>
              </w:rPr>
            </w:pPr>
            <w:r>
              <w:rPr>
                <w:caps w:val="false"/>
                <w:smallCaps w:val="false"/>
              </w:rPr>
              <w:t> </w:t>
            </w:r>
          </w:p>
        </w:tc>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and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20" w:name="ea029885601ex31-1.htm"/>
      <w:bookmarkStart w:id="21" w:name="ksea029885601ex311"/>
      <w:bookmarkEnd w:id="20"/>
      <w:bookmarkEnd w:id="21"/>
      <w:r>
        <w:rPr>
          <w:b/>
        </w:rPr>
        <w:t>Exhibit 31.1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Periodic Report Pursuant to Rule 13a-14(a) and Rule 15d-14(a)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Lorber, certify that:</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230"/>
        <w:gridCol w:w="9350"/>
      </w:tblGrid>
      <w:tr>
        <w:trPr/>
        <w:tc>
          <w:tcPr>
            <w:tcW w:w="230" w:type="dxa"/>
            <w:tcBorders/>
            <w:vAlign w:val="center"/>
          </w:tcPr>
          <w:p>
            <w:pPr>
              <w:pStyle w:val="TableContents"/>
              <w:bidi w:val="0"/>
              <w:spacing w:before="0" w:after="283"/>
              <w:jc w:val="left"/>
              <w:rPr/>
            </w:pPr>
            <w:r>
              <w:rPr/>
              <w:t>1)</w:t>
            </w:r>
          </w:p>
        </w:tc>
        <w:tc>
          <w:tcPr>
            <w:tcW w:w="9350" w:type="dxa"/>
            <w:tcBorders/>
            <w:vAlign w:val="center"/>
          </w:tcPr>
          <w:p>
            <w:pPr>
              <w:pStyle w:val="TableContents"/>
              <w:bidi w:val="0"/>
              <w:spacing w:before="0" w:after="283"/>
              <w:jc w:val="both"/>
              <w:rPr/>
            </w:pPr>
            <w:r>
              <w:rPr/>
              <w:t>I have reviewed this Quarterly Report on Form 10-Q of PhenixFIN Corporation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2)</w:t>
            </w:r>
          </w:p>
        </w:tc>
        <w:tc>
          <w:tcPr>
            <w:tcW w:w="10026"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pPr>
            <w:r>
              <w:rPr/>
              <w:t>3)</w:t>
            </w:r>
          </w:p>
        </w:tc>
        <w:tc>
          <w:tcPr>
            <w:tcW w:w="10023"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The Company’s other certifying officer(s) and I are responsible for establishing and maintaining disclosure controls and procedures (as defined in Exchange Act Rules 13a-15(e) and 15d-15 (e))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a)</w:t>
            </w:r>
          </w:p>
        </w:tc>
        <w:tc>
          <w:tcPr>
            <w:tcW w:w="10020"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283"/>
              <w:jc w:val="both"/>
              <w:rPr/>
            </w:pPr>
            <w:r>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r>
              <w:rPr/>
              <w:t>5)</w:t>
            </w:r>
          </w:p>
        </w:tc>
        <w:tc>
          <w:tcPr>
            <w:tcW w:w="10024" w:type="dxa"/>
            <w:tcBorders/>
            <w:vAlign w:val="center"/>
          </w:tcPr>
          <w:p>
            <w:pPr>
              <w:pStyle w:val="TableContents"/>
              <w:bidi w:val="0"/>
              <w:spacing w:before="0" w:after="283"/>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2360"/>
        <w:gridCol w:w="75"/>
      </w:tblGrid>
      <w:tr>
        <w:trPr/>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5, 2026</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xml:space="preserve">/s/ </w:t>
            </w:r>
            <w:r>
              <w:rPr>
                <w:rFonts w:ascii="Times New Roman;Times;Serif" w:hAnsi="Times New Roman;Times;Serif"/>
                <w:sz w:val="20"/>
              </w:rPr>
              <w:t>David Lorber</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ea029885601ex31-2.htm"/>
      <w:bookmarkStart w:id="23" w:name="ksea029885601ex312"/>
      <w:bookmarkEnd w:id="22"/>
      <w:bookmarkEnd w:id="23"/>
      <w:r>
        <w:rPr>
          <w:b/>
        </w:rPr>
        <w:t>Exhibit 31.2</w:t>
      </w:r>
      <w:r>
        <w:br w:type="page"/>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Periodic Report Pursuant to Rule 13a-14(a) and Rule 15d-14(a)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Ellida McMillan, certify that:</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230"/>
        <w:gridCol w:w="9350"/>
      </w:tblGrid>
      <w:tr>
        <w:trPr/>
        <w:tc>
          <w:tcPr>
            <w:tcW w:w="230" w:type="dxa"/>
            <w:tcBorders/>
            <w:vAlign w:val="center"/>
          </w:tcPr>
          <w:p>
            <w:pPr>
              <w:pStyle w:val="TableContents"/>
              <w:bidi w:val="0"/>
              <w:spacing w:before="0" w:after="283"/>
              <w:jc w:val="left"/>
              <w:rPr/>
            </w:pPr>
            <w:r>
              <w:rPr/>
              <w:t>1)</w:t>
            </w:r>
          </w:p>
        </w:tc>
        <w:tc>
          <w:tcPr>
            <w:tcW w:w="9350" w:type="dxa"/>
            <w:tcBorders/>
            <w:vAlign w:val="center"/>
          </w:tcPr>
          <w:p>
            <w:pPr>
              <w:pStyle w:val="TableContents"/>
              <w:bidi w:val="0"/>
              <w:spacing w:before="0" w:after="283"/>
              <w:jc w:val="both"/>
              <w:rPr/>
            </w:pPr>
            <w:r>
              <w:rPr/>
              <w:t>I have reviewed this Quarterly Report on Form 10-Q of PhenixFIN Corporation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2)</w:t>
            </w:r>
          </w:p>
        </w:tc>
        <w:tc>
          <w:tcPr>
            <w:tcW w:w="10026"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pPr>
            <w:r>
              <w:rPr/>
              <w:t>3)</w:t>
            </w:r>
          </w:p>
        </w:tc>
        <w:tc>
          <w:tcPr>
            <w:tcW w:w="10023"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The Company’s other certifying officer(s) and I are responsible for establishing and maintaining disclosure controls and procedures (as defined in Exchange Act Rules 13a-15(e) and 15d-15 (e))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a)</w:t>
            </w:r>
          </w:p>
        </w:tc>
        <w:tc>
          <w:tcPr>
            <w:tcW w:w="10020"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283"/>
              <w:jc w:val="both"/>
              <w:rPr/>
            </w:pPr>
            <w:r>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r>
              <w:rPr/>
              <w:t>5)</w:t>
            </w:r>
          </w:p>
        </w:tc>
        <w:tc>
          <w:tcPr>
            <w:tcW w:w="10024" w:type="dxa"/>
            <w:tcBorders/>
            <w:vAlign w:val="center"/>
          </w:tcPr>
          <w:p>
            <w:pPr>
              <w:pStyle w:val="TableContents"/>
              <w:bidi w:val="0"/>
              <w:spacing w:before="0" w:after="283"/>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765" w:type="dxa"/>
        <w:jc w:val="left"/>
        <w:tblInd w:w="0" w:type="dxa"/>
        <w:tblLayout w:type="fixed"/>
        <w:tblCellMar>
          <w:top w:w="0" w:type="dxa"/>
          <w:left w:w="0" w:type="dxa"/>
          <w:bottom w:w="0" w:type="dxa"/>
          <w:right w:w="0" w:type="dxa"/>
        </w:tblCellMar>
      </w:tblPr>
      <w:tblGrid>
        <w:gridCol w:w="2690"/>
        <w:gridCol w:w="75"/>
      </w:tblGrid>
      <w:tr>
        <w:trP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5, 2026</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/s/ Ellida McMillan</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(Principal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ea029885601ex32-1.htm"/>
      <w:bookmarkStart w:id="25" w:name="ksea029885601ex321"/>
      <w:bookmarkEnd w:id="24"/>
      <w:bookmarkEnd w:id="25"/>
      <w:r>
        <w:rPr>
          <w:b/>
        </w:rPr>
        <w:t>Exhibit 32.1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CHIEF FINANCIAL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PhenixFIN Corporation (the “Company”) for the quarterly period ended June 30, 2026, as filed with the Securities and Exchange Commission on the date hereof (the “Report”), we, David Lorber and Ellida McMillan, Chief Executive Officer and Chief Financial Officer, respectively, of the Company, certify, pursuant to 18 U.S.C. Section 1350, as adopted pursuant to Section 906 of the Sarbanes-Oxley Act of 2002, that to our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 as of the dates and for the periods expressed in the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5, 2026</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380"/>
        <w:gridCol w:w="2360"/>
        <w:gridCol w:w="75"/>
      </w:tblGrid>
      <w:tr>
        <w:trPr/>
        <w:tc>
          <w:tcPr>
            <w:tcW w:w="380" w:type="dxa"/>
            <w:tcBorders/>
            <w:vAlign w:val="center"/>
          </w:tcPr>
          <w:p>
            <w:pPr>
              <w:pStyle w:val="TableContents"/>
              <w:bidi w:val="0"/>
              <w:spacing w:before="0" w:after="283"/>
              <w:jc w:val="left"/>
              <w:rPr/>
            </w:pPr>
            <w:r>
              <w:rPr/>
              <w:t>By:</w:t>
            </w:r>
          </w:p>
        </w:tc>
        <w:tc>
          <w:tcPr>
            <w:tcW w:w="2360" w:type="dxa"/>
            <w:tcBorders>
              <w:bottom w:val="single" w:sz="12" w:space="0" w:color="000000"/>
            </w:tcBorders>
            <w:tcMar>
              <w:bottom w:w="28" w:type="dxa"/>
            </w:tcMar>
            <w:vAlign w:val="center"/>
          </w:tcPr>
          <w:p>
            <w:pPr>
              <w:pStyle w:val="TableContents"/>
              <w:bidi w:val="0"/>
              <w:spacing w:before="0" w:after="283"/>
              <w:jc w:val="left"/>
              <w:rPr/>
            </w:pPr>
            <w:r>
              <w:rPr/>
              <w:t>/s/ David Lorber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David Lorber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i/>
              </w:rPr>
            </w:pPr>
            <w:r>
              <w:rPr>
                <w:i/>
              </w:rPr>
              <w:t>Chief Executive Officer</w:t>
            </w:r>
          </w:p>
        </w:tc>
        <w:tc>
          <w:tcPr>
            <w:tcW w:w="75" w:type="dxa"/>
            <w:tcBorders/>
            <w:vAlign w:val="center"/>
          </w:tcPr>
          <w:p>
            <w:pPr>
              <w:pStyle w:val="TableContents"/>
              <w:bidi w:val="0"/>
              <w:spacing w:before="0" w:after="283"/>
              <w:jc w:val="left"/>
              <w:rPr/>
            </w:pPr>
            <w:r>
              <w:rPr/>
              <w:t> </w:t>
            </w:r>
          </w:p>
        </w:tc>
      </w:tr>
      <w:tr>
        <w:trPr/>
        <w:tc>
          <w:tcPr>
            <w:tcW w:w="27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2360" w:type="dxa"/>
            <w:tcBorders>
              <w:bottom w:val="single" w:sz="12" w:space="0" w:color="000000"/>
            </w:tcBorders>
            <w:tcMar>
              <w:bottom w:w="28" w:type="dxa"/>
            </w:tcMar>
            <w:vAlign w:val="center"/>
          </w:tcPr>
          <w:p>
            <w:pPr>
              <w:pStyle w:val="TableContents"/>
              <w:bidi w:val="0"/>
              <w:spacing w:before="0" w:after="283"/>
              <w:jc w:val="left"/>
              <w:rPr/>
            </w:pPr>
            <w:r>
              <w:rPr/>
              <w:t>/s/ Ellida McMillan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Ellida McMillan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i/>
              </w:rPr>
            </w:pPr>
            <w:r>
              <w:rPr>
                <w:i/>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90349/000095012310107938/y03423a3exv99waw3.htm" TargetMode="External"/><Relationship Id="rId3" Type="http://schemas.openxmlformats.org/officeDocument/2006/relationships/hyperlink" Target="http://www.sec.gov/Archives/edgar/data/1490349/000149034920000024/certificateofamendmenttoth.htm" TargetMode="External"/><Relationship Id="rId4" Type="http://schemas.openxmlformats.org/officeDocument/2006/relationships/hyperlink" Target="http://www.sec.gov/Archives/edgar/data/1490349/000114036120029619/brhc10018424_ex3-1.htm" TargetMode="External"/><Relationship Id="rId5" Type="http://schemas.openxmlformats.org/officeDocument/2006/relationships/hyperlink" Target="http://www.sec.gov/Archives/edgar/data/1490349/000095012310107938/y03423a3exv99wbw3.htm" TargetMode="External"/><Relationship Id="rId6" Type="http://schemas.openxmlformats.org/officeDocument/2006/relationships/hyperlink" Target="http://www.sec.gov/Archives/edgar/data/1490349/000121390019001840/f8k020619ex3-1_medleycap.htm" TargetMode="External"/><Relationship Id="rId7" Type="http://schemas.openxmlformats.org/officeDocument/2006/relationships/hyperlink" Target="http://www.sec.gov/Archives/edgar/data/1490349/000114036120029619/brhc10018424_ex3-2.htm" TargetMode="External"/><Relationship Id="rId8" Type="http://schemas.openxmlformats.org/officeDocument/2006/relationships/hyperlink" Target="http://www.sec.gov/Archives/edgar/data/1490349/000121390021009276/ea135650ex3-1_phenixfin.htm" TargetMode="External"/><Relationship Id="rId9" Type="http://schemas.openxmlformats.org/officeDocument/2006/relationships/hyperlink" Target="http://www.sec.gov/Archives/edgar/data/1490349/000095012310107938/y03423a3exv99wd.htm" TargetMode="External"/><Relationship Id="rId10" Type="http://schemas.openxmlformats.org/officeDocument/2006/relationships/hyperlink" Target="http://www.sec.gov/Archives/edgar/data/1490349/000114420412007378/v301790_ex99-d2.htm" TargetMode="External"/><Relationship Id="rId11" Type="http://schemas.openxmlformats.org/officeDocument/2006/relationships/hyperlink" Target="http://www.sec.gov/Archives/edgar/data/1490349/000114420412016412/v306680_ex99-d4.htm" TargetMode="External"/><Relationship Id="rId12" Type="http://schemas.openxmlformats.org/officeDocument/2006/relationships/hyperlink" Target="http://www.sec.gov/Archives/edgar/data/1490349/000114420413015507/v338116_ex99d4.htm" TargetMode="External"/><Relationship Id="rId13" Type="http://schemas.openxmlformats.org/officeDocument/2006/relationships/hyperlink" Target="http://www.sec.gov/Archives/edgar/data/1490349/000114420415071552/v427305_ex-d6.htm" TargetMode="External"/><Relationship Id="rId14" Type="http://schemas.openxmlformats.org/officeDocument/2006/relationships/hyperlink" Target="http://www.sec.gov/Archives/edgar/data/1490349/000121390021059528/s134346_ex4-1.htm" TargetMode="External"/><Relationship Id="rId15" Type="http://schemas.openxmlformats.org/officeDocument/2006/relationships/hyperlink" Target="http://www.sec.gov/Archives/edgar/data/1490349/000121390021053038/s133946-n2a.htm" TargetMode="External"/><Relationship Id="rId16" Type="http://schemas.openxmlformats.org/officeDocument/2006/relationships/hyperlink" Target="http://www.sec.gov/Archives/edgar/data/1490349/000095012310107938/y03423a3exv99wjw1.htm" TargetMode="External"/><Relationship Id="rId17" Type="http://schemas.openxmlformats.org/officeDocument/2006/relationships/hyperlink" Target="http://www.sec.gov/Archives/edgar/data/1490349/000095012310107938/y03423a3exv99we.htm" TargetMode="External"/><Relationship Id="rId18" Type="http://schemas.openxmlformats.org/officeDocument/2006/relationships/hyperlink" Target="http://www.sec.gov/Archives/edgar/data/1490349/000121390019006590/f8k041519aex10-1_mcc.htm" TargetMode="External"/><Relationship Id="rId19" Type="http://schemas.openxmlformats.org/officeDocument/2006/relationships/hyperlink" Target="http://www.sec.gov/Archives/edgar/data/1490349/000121390019014500/f8k072919ex10-1_medleycap.htm" TargetMode="External"/><Relationship Id="rId20" Type="http://schemas.openxmlformats.org/officeDocument/2006/relationships/hyperlink" Target="http://www.sec.gov/Archives/edgar/data/1490349/000121390019014500/f8k072919ex10-2_medleycap.htm" TargetMode="External"/><Relationship Id="rId21" Type="http://schemas.openxmlformats.org/officeDocument/2006/relationships/hyperlink" Target="http://www.sec.gov/Archives/edgar/data/1490349/000149034920000034/a101standstillagreement.htm" TargetMode="External"/><Relationship Id="rId22" Type="http://schemas.openxmlformats.org/officeDocument/2006/relationships/hyperlink" Target="http://www.sec.gov/Archives/edgar/data/1490349/000149034920000056/exhibit1016.htm" TargetMode="External"/><Relationship Id="rId23" Type="http://schemas.openxmlformats.org/officeDocument/2006/relationships/hyperlink" Target="http://www.sec.gov/Archives/edgar/data/1490349/000149034920000056/exhibit1017.htm" TargetMode="External"/><Relationship Id="rId24" Type="http://schemas.openxmlformats.org/officeDocument/2006/relationships/hyperlink" Target="http://www.sec.gov/Archives/edgar/data/1490349/000121390022024963/f10q0322ex10-9_phenixfin.htm" TargetMode="External"/><Relationship Id="rId25" Type="http://schemas.openxmlformats.org/officeDocument/2006/relationships/hyperlink" Target="http://www.sec.gov/Archives/edgar/data/1490349/000121390023009500/f10q1222ex10-10_phenixfin.htm" TargetMode="External"/><Relationship Id="rId26" Type="http://schemas.openxmlformats.org/officeDocument/2006/relationships/hyperlink" Target="http://www.sec.gov/Archives/edgar/data/1490349/000121390022024963/f10q0322ex10-10_phenixfin.htm" TargetMode="External"/><Relationship Id="rId27" Type="http://schemas.openxmlformats.org/officeDocument/2006/relationships/hyperlink" Target="http://www.sec.gov/Archives/edgar/data/1490349/000121390022080281/f10k2022ex10-11_phenixfin.htm" TargetMode="External"/><Relationship Id="rId28" Type="http://schemas.openxmlformats.org/officeDocument/2006/relationships/hyperlink" Target="http://www.sec.gov/Archives/edgar/data/1490349/000121390024041496/ea020519601ex10-13_phenixfin.htm" TargetMode="External"/><Relationship Id="rId29" Type="http://schemas.openxmlformats.org/officeDocument/2006/relationships/hyperlink" Target="https://www.sec.gov/Archives/edgar/data/1490349/000121390024109444/ea022280401ex10-13_phenix.htm" TargetMode="External"/><Relationship Id="rId30" Type="http://schemas.openxmlformats.org/officeDocument/2006/relationships/hyperlink" Target="https://www.sec.gov/Archives/edgar/data/1490349/000121390022080281/f10k2022ex10-10_phenixfin.htm" TargetMode="External"/><Relationship Id="rId31" Type="http://schemas.openxmlformats.org/officeDocument/2006/relationships/hyperlink" Target="https://www.sec.gov/Archives/edgar/data/1490349/000121390022080281/f10k2022ex10-12_phenixfin.htm" TargetMode="External"/><Relationship Id="rId32" Type="http://schemas.openxmlformats.org/officeDocument/2006/relationships/hyperlink" Target="http://www.sec.gov/Archives/edgar/data/1490349/000121390022080281/f10k2022ex10-9_phenixfin.htm" TargetMode="External"/><Relationship Id="rId33" Type="http://schemas.openxmlformats.org/officeDocument/2006/relationships/hyperlink" Target="https://www.sec.gov/Archives/edgar/data/1490349/000121390025072562/ea025001201ex10-18_phenixfin.htm" TargetMode="External"/><Relationship Id="rId34" Type="http://schemas.openxmlformats.org/officeDocument/2006/relationships/hyperlink" Target="http://www.sec.gov/Archives/edgar/data/1490349/000121390021043694/ea145260ex99r_phenixfincorp.htm" TargetMode="External"/><Relationship Id="rId35" Type="http://schemas.openxmlformats.org/officeDocument/2006/relationships/hyperlink" Target="http://www.sec.gov/Archives/edgar/data/1490349/000121390022006415/f10q1221ex21-1_phenixfin.htm" TargetMode="External"/><Relationship Id="rId36" Type="http://schemas.openxmlformats.org/officeDocument/2006/relationships/hyperlink" Target="https://www.sec.gov/Archives/edgar/data/1490349/000121390022080281/f10k2022ex99-1_phenixfin.htm" TargetMode="External"/><Relationship Id="rId37" Type="http://schemas.openxmlformats.org/officeDocument/2006/relationships/hyperlink" Target="https://www.sec.gov/Archives/edgar/data/1490349/000121390023098182/f10k2023ex99-3_phenixfin.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35996</Words>
  <Characters>196689</Characters>
  <CharactersWithSpaces>239410</CharactersWithSpaces>
  <Paragraphs>17515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