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5,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PHENIXFIN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5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8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814-00818</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27-4576073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80" w:type="dxa"/>
            <w:vAlign w:val="bottom"/>
            <w:tcBorders>
              <w:top w:val="single" w:sz="8" w:color="auto"/>
            </w:tcBorders>
            <w:gridSpan w:val="3"/>
          </w:tcPr>
          <w:p>
            <w:pPr>
              <w:jc w:val="center"/>
              <w:ind w:right="72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5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79"/>
        </w:trPr>
        <w:tc>
          <w:tcPr>
            <w:tcW w:w="4560" w:type="dxa"/>
            <w:vAlign w:val="bottom"/>
            <w:tcBorders>
              <w:bottom w:val="single" w:sz="8" w:color="auto"/>
            </w:tcBorders>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7"/>
              </w:rPr>
              <w:t>445 Park Avenue, 10</w:t>
            </w:r>
            <w:r>
              <w:rPr>
                <w:rFonts w:ascii="Times New Roman" w:cs="Times New Roman" w:eastAsia="Times New Roman" w:hAnsi="Times New Roman"/>
                <w:sz w:val="29"/>
                <w:szCs w:val="29"/>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 New York, NY</w:t>
            </w: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234"/>
        </w:trPr>
        <w:tc>
          <w:tcPr>
            <w:tcW w:w="456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859-0390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16"/>
        </w:trPr>
        <w:tc>
          <w:tcPr>
            <w:tcW w:w="3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PFX</w:t>
            </w:r>
          </w:p>
        </w:tc>
        <w:tc>
          <w:tcPr>
            <w:tcW w:w="2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r>
        <w:trPr>
          <w:trHeight w:val="234"/>
        </w:trPr>
        <w:tc>
          <w:tcPr>
            <w:tcW w:w="3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5.25% Notes due 2028</w:t>
            </w:r>
          </w:p>
        </w:tc>
        <w:tc>
          <w:tcPr>
            <w:tcW w:w="3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PFXNZ</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May 5, 2026, PhenixFIN Corporation issued a press release announcing its financial results for the quarter ended March 31, 2026. The press release is included as Exhibit 99.1 to this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5580" w:right="442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PhenixFIN Corporation has duly caused this report to be signed on its behalf by the undersigned 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7"/>
          <w:szCs w:val="17"/>
          <w:b w:val="1"/>
          <w:bCs w:val="1"/>
          <w:color w:val="auto"/>
        </w:rPr>
        <w:t>PHENIXFIN CORPORATION</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/s/David Lorber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David Lorber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PhenixFIN Corporation Announces Second Quarter 2026 Financial Results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New York, NY, May 5, 2026 -- PhenixFIN Corporation (NASDAQ: PFX, PFXNZ) (the “Company”), a publicly traded business development company, today announced its financial results for the second fiscal quarter of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Highlights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quarter total investment income of $5.2 million; net investment income of $0.7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(NAV) of $153.8 million, or $79.56 per share as of March 31,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yield was 13.1% on debt and other income producing investments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May 5, 2026, the Board declared a special dividend of $0.07 per share to be paid on May 28, 2026, to stockholders of record as of May 18,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Lorber, Chief Executive Officer of the Company, stated: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volatility and uncertainty are elevated in the markets, specifically in private credit, we continue to underwrite with a disciplined approach and engage in active portfolio management. Our overall portfolio was stable throughout the quarter. Our investment strategy is generally focused on asset-oriented industries. In addition, during the quarter we returned capital to our shareholders through our share buyback program, having repurchased 66,396 shares or 3.3% of our shares outstanding.”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Selected Second Quarter 2026 Financial Results for the Quarter Ended March 31, 2026:</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investment income was $5.2 million of which $5.0 million was attributable to portfolio interest and dividend income and $0.2 million was attributable to fee and other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expenses were $4.5 million and total net investment income was $0.7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a net realized loss of $1.1 million and net unrealized gain of $1.7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Portfolio and Investment Activities for the Quarter Ended March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Company’s investment portfolio totaled $295.8 million and consisted of 32 portfolio companies.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1 portfolio company investment on non-accrual status with a fair market value of $0.0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2026, the Company had $3.1 million in cash and cash equivalents, $57.5 million in aggregate principal amount of its 5.25% unsecured notes due 2028 and $90.0 million outstanding under the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PHENIXFIN CORPORATION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PhenixFIN Corporation is a non-diversified, internally managed closed-end management investment company incorporated in Delaware that has elected to be regulated as a business development company under the Investment Company Act of 1940, as amended. We completed our initial public offering and commenced operations on January 20, 2011. The Company has elected, and intends to qualify annually, to be treated, for U.S. federal income tax purposes, as a regulated investment company under Subchapter M of the Internal Revenue Code of 1986, as amended. Effective January 1, 2021, the Company operates under an internalized management structure.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AND OTHER DISCLOSURES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Such forward-looking statements reflect current views with respect to future events and financial performance, and the Company may make related oral forward-looking statements on or following the date hereof. These forward-looking statements are subject to the inherent uncertainties in predicting future results and conditions. Certain factors could cause actual results and conditions to differ materially from those projected in these forward-looking statements, including among other things, PhenixFIN’s ability to deliver value to shareholders, increase investment activity, increase net investment income, implement its investment strategy and achieve its investment objective, source and capitalize on investment opportunities, grow its net asset value and perform well in the prevailing market environment, the ability of our portfolio companies to perform well and generate income and other factors that are enumerated in the Company’s periodic filings with the Securities and Exchange Commission. PhenixFIN Corporation disclaims and does not undertake any obligation to update or revise any forward-looking statement in this press release.</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Past performance is not a guarantee of future results. </w:t>
      </w:r>
      <w:r>
        <w:rPr>
          <w:rFonts w:ascii="Times New Roman" w:cs="Times New Roman" w:eastAsia="Times New Roman" w:hAnsi="Times New Roman"/>
          <w:sz w:val="18"/>
          <w:szCs w:val="18"/>
          <w:color w:val="auto"/>
        </w:rPr>
        <w:t>The press release contains unaudited financial results. For ease of review, we have excluded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word “approximately” when rounding the results. This press release is for informational purposes only and is not an offer to purchase or a solicitation of an offer to sell shares of PhenixFIN Corporation’s common stock. There can be no assurance that PhenixFIN Corporation will achieve its investment objective.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PhenixFIN investor relations, please call 212-859-0390. For media inquiries, please contact info@phenixfc.com.</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PHENIXFIN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Assets and Liabilities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Non-controlled, non-affiliated investments (amortized cost of $128,237,811 and $139,342,491, respectively)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130,033,295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145,280,169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Affiliated investments (amortized cost of $37,828,011 and $35,390,223, respectively)</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36,776,004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35,381,405</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Controlled investments (amortized cost of $157,346,334 and $149,656,451, respectively)</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129,001,392</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121,610,914</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Investments at fair value</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295,810,691</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302,272,488</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3,074,794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7,289,371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1,303,922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1,203,404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44,971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42,950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2,537,376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2,746,775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727,925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1,234,847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1,232,943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1,384,767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Affiliate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275,173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572,331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share repurchase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115,969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96,342</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for investments sold</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431,184</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21,549</w:t>
            </w:r>
          </w:p>
        </w:tc>
      </w:tr>
      <w:tr>
        <w:trPr>
          <w:trHeight w:val="251"/>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305,574,777</w:t>
            </w:r>
          </w:p>
        </w:tc>
        <w:tc>
          <w:tcPr>
            <w:tcW w:w="22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316,909,795</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and notes payable (net of debt issuance costs of $864,414 and $1,141,393, respectively)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146,627,205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148,011,724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1,329,714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4,226,889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2,499,673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2,439,405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fees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1,131,408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1,187,574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48,137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137,538</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Due to Affiliate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126,936</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132,365</w:t>
            </w: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151,763,073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156,135,495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(see Note 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Shares, $0.001 par value; 5,000,000 shares authorized; 2,723,709 shares issued;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1,933,238 and 2,003,769 common shares outstanding, respectively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701,315,531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704,640,648</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distributable earnings (loss)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(547,505,760)</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(543,868,352)</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Total Net Assets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153,811,704</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160,774,300</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305,574,777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316,909,795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Asset Value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79.56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80.24</w:t>
            </w:r>
          </w:p>
        </w:tc>
      </w:tr>
      <w:tr>
        <w:trPr>
          <w:trHeight w:val="655"/>
        </w:trPr>
        <w:tc>
          <w:tcPr>
            <w:tcW w:w="8680" w:type="dxa"/>
            <w:vAlign w:val="bottom"/>
            <w:tcBorders>
              <w:bottom w:val="single" w:sz="8" w:color="auto"/>
            </w:tcBorders>
          </w:tcPr>
          <w:p>
            <w:pPr>
              <w:ind w:left="55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PHENIXFIN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5"/>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Interest Income:</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from investments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Non-controlled, non-affiliated investments: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2,242,062</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2,957,380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4,800,297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5,950,065</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in-kind</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250,799</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263,784</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278,191</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618,465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Affiliated investments: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670,874</w:t>
            </w:r>
          </w:p>
        </w:tc>
        <w:tc>
          <w:tcPr>
            <w:tcW w:w="300" w:type="dxa"/>
            <w:vAlign w:val="bottom"/>
          </w:tcPr>
          <w:p>
            <w:pPr>
              <w:spacing w:after="0"/>
              <w:rPr>
                <w:sz w:val="21"/>
                <w:szCs w:val="21"/>
                <w:color w:val="auto"/>
              </w:rPr>
            </w:pPr>
          </w:p>
        </w:tc>
        <w:tc>
          <w:tcPr>
            <w:tcW w:w="1040" w:type="dxa"/>
            <w:vAlign w:val="bottom"/>
            <w:gridSpan w:val="2"/>
          </w:tcPr>
          <w:p>
            <w:pPr>
              <w:jc w:val="right"/>
              <w:ind w:right="141"/>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1,302,466</w:t>
            </w:r>
          </w:p>
        </w:tc>
        <w:tc>
          <w:tcPr>
            <w:tcW w:w="300" w:type="dxa"/>
            <w:vAlign w:val="bottom"/>
          </w:tcPr>
          <w:p>
            <w:pPr>
              <w:spacing w:after="0"/>
              <w:rPr>
                <w:sz w:val="21"/>
                <w:szCs w:val="21"/>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in-kind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242,930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449,921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Controlled investments: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725,479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626,790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1,171,163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1,214,985</w:t>
            </w:r>
          </w:p>
        </w:tc>
        <w:tc>
          <w:tcPr>
            <w:tcW w:w="0" w:type="dxa"/>
            <w:vAlign w:val="bottom"/>
          </w:tcPr>
          <w:p>
            <w:pPr>
              <w:spacing w:after="0"/>
              <w:rPr>
                <w:sz w:val="1"/>
                <w:szCs w:val="1"/>
                <w:color w:val="auto"/>
              </w:rPr>
            </w:pPr>
          </w:p>
        </w:tc>
      </w:tr>
      <w:tr>
        <w:trPr>
          <w:trHeight w:val="237"/>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in-kind</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income</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4,132,144</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3,847,954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8,002,038</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7,783,515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Non-controlled, non-affiliated investments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428,380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378,232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1,224,247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974,530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Affiliated investments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268,540</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111,736</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268,540</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254,231</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Controlled investments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156,084</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1,580,616</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1,907,359</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2,979,966</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dividend income</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853,004</w:t>
            </w:r>
          </w:p>
        </w:tc>
        <w:tc>
          <w:tcPr>
            <w:tcW w:w="2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2,070,584</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3,400,146</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4,208,727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from cash and cash equivalents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48,871</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45,812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104,237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104,753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Fee income (see Note 9)</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164,374</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29,673</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352,207</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40,737</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97,774</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5,198,393</w:t>
            </w:r>
          </w:p>
        </w:tc>
        <w:tc>
          <w:tcPr>
            <w:tcW w:w="2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6,019,023</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11,858,628</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12,235,506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financing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2,308,578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2,578,963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4,740,913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5,124,774</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1,016,836</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1,185,054</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1,986,009</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2,213,671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fees,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410,332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577,965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800,272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995,978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362,493</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307,739</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722,978</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529,532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Directors fees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169,428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204,000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373,428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408,000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Administrator expenses (see Note 6)</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109,223</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112,829</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211,284</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197,184</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 expenses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73,990</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86,498</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149,624</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174,919</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4,450,880</w:t>
            </w:r>
          </w:p>
        </w:tc>
        <w:tc>
          <w:tcPr>
            <w:tcW w:w="26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5,053,048</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8,984,508</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9,644,058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747,513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965,975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2,874,120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Realized and unrealized gains (losses) on investments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Non-controlled, non-affiliated investments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(1,120,698)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(1,065,013)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(428,478)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103,657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Affiliated investments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2,112</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3,496</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Controlled investments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net realized gains (losses)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(1,118,586)</w:t>
            </w:r>
          </w:p>
        </w:tc>
        <w:tc>
          <w:tcPr>
            <w:tcW w:w="2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(1,065,013)</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(424,982)</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103,657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Non-controlled, non-affiliated investments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587,985</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1,183,172</w:t>
            </w:r>
          </w:p>
        </w:tc>
        <w:tc>
          <w:tcPr>
            <w:tcW w:w="1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(4,142,194)</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1,991,710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Affiliated investments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(704,662)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(92,367)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(1,043,189)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(981,553)</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Controlled investments</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1,786,533</w:t>
            </w:r>
          </w:p>
        </w:tc>
        <w:tc>
          <w:tcPr>
            <w:tcW w:w="30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(1,558,264)</w:t>
            </w:r>
          </w:p>
        </w:tc>
        <w:tc>
          <w:tcPr>
            <w:tcW w:w="14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(299,405)</w:t>
            </w:r>
          </w:p>
        </w:tc>
        <w:tc>
          <w:tcPr>
            <w:tcW w:w="3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(1,807,602)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change in unrealized gains (losses)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1,669,856</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(467,459)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(5,484,788)</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benefit (expense)</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(166,015)</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(329,636)</w:t>
            </w:r>
          </w:p>
        </w:tc>
        <w:tc>
          <w:tcPr>
            <w:tcW w:w="1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(589,444)</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(329,636)</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 (see Note 5)</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(12,314)</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realized and unrealized gains (losses)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385,255</w:t>
            </w:r>
          </w:p>
        </w:tc>
        <w:tc>
          <w:tcPr>
            <w:tcW w:w="26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(1,862,108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(6,511,528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(1,023,424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Net Assets Resulting from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1,132,768</w:t>
            </w:r>
          </w:p>
        </w:tc>
        <w:tc>
          <w:tcPr>
            <w:tcW w:w="2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(896,133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(3,637,408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1,568,024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basic and diluted earnings per common share</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(0.44)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 (see Note 11)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1,972,943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2,019,778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1,987,363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2,019,778</w:t>
            </w:r>
          </w:p>
        </w:tc>
        <w:tc>
          <w:tcPr>
            <w:tcW w:w="0" w:type="dxa"/>
            <w:vAlign w:val="bottom"/>
          </w:tcPr>
          <w:p>
            <w:pPr>
              <w:spacing w:after="0"/>
              <w:rPr>
                <w:sz w:val="1"/>
                <w:szCs w:val="1"/>
                <w:color w:val="auto"/>
              </w:rPr>
            </w:pPr>
          </w:p>
        </w:tc>
      </w:tr>
      <w:tr>
        <w:trPr>
          <w:trHeight w:val="655"/>
        </w:trPr>
        <w:tc>
          <w:tcPr>
            <w:tcW w:w="5980" w:type="dxa"/>
            <w:vAlign w:val="bottom"/>
            <w:tcBorders>
              <w:bottom w:val="single" w:sz="8" w:color="auto"/>
            </w:tcBorders>
          </w:tcPr>
          <w:p>
            <w:pPr>
              <w:ind w:left="55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2026-05-05T15:45:16Z</dcterms:created>
  <dcterms:modified xsi:type="dcterms:W3CDTF">2026-05-05T15:45:16Z</dcterms:modified>
</cp:coreProperties>
</file>