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0000FF"/>
        </w:rPr>
        <w:t>PhenixFIN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22"/>
          <w:szCs w:val="22"/>
          <w:b w:val="1"/>
          <w:bCs w:val="1"/>
          <w:color w:val="0000FF"/>
        </w:rPr>
        <w:t>David Lorber</w:t>
      </w:r>
    </w:p>
    <w:p>
      <w:pPr>
        <w:spacing w:after="0" w:line="8" w:lineRule="exact"/>
        <w:rPr>
          <w:sz w:val="24"/>
          <w:szCs w:val="24"/>
          <w:color w:val="auto"/>
        </w:rPr>
      </w:pPr>
    </w:p>
    <w:p>
      <w:pPr>
        <w:ind w:left="3460"/>
        <w:spacing w:after="0"/>
        <w:rPr>
          <w:sz w:val="20"/>
          <w:szCs w:val="20"/>
          <w:color w:val="auto"/>
        </w:rPr>
      </w:pPr>
      <w:r>
        <w:rPr>
          <w:rFonts w:ascii="Times New Roman" w:cs="Times New Roman" w:eastAsia="Times New Roman" w:hAnsi="Times New Roman"/>
          <w:sz w:val="22"/>
          <w:szCs w:val="22"/>
          <w:b w:val="1"/>
          <w:bCs w:val="1"/>
          <w:color w:val="0000FF"/>
        </w:rPr>
        <w:t>445 Park Avenue, 10th Floor,</w:t>
      </w:r>
    </w:p>
    <w:p>
      <w:pPr>
        <w:ind w:left="384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10022</w:t>
      </w:r>
    </w:p>
    <w:p>
      <w:pPr>
        <w:spacing w:after="0" w:line="1" w:lineRule="exact"/>
        <w:rPr>
          <w:sz w:val="24"/>
          <w:szCs w:val="24"/>
          <w:color w:val="auto"/>
        </w:rPr>
      </w:pPr>
    </w:p>
    <w:p>
      <w:pPr>
        <w:ind w:left="4140"/>
        <w:spacing w:after="0"/>
        <w:rPr>
          <w:sz w:val="20"/>
          <w:szCs w:val="20"/>
          <w:color w:val="auto"/>
        </w:rPr>
      </w:pPr>
      <w:r>
        <w:rPr>
          <w:rFonts w:ascii="Times New Roman" w:cs="Times New Roman" w:eastAsia="Times New Roman" w:hAnsi="Times New Roman"/>
          <w:sz w:val="22"/>
          <w:szCs w:val="22"/>
          <w:b w:val="1"/>
          <w:bCs w:val="1"/>
          <w:color w:val="0000FF"/>
        </w:rPr>
        <w:t>(212) 859-0390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A. Lorber</w:t>
      </w:r>
    </w:p>
    <w:p>
      <w:pPr>
        <w:spacing w:after="0" w:line="20"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1240"/>
          </w:cols>
          <w:pgMar w:left="320" w:top="866" w:right="339" w:bottom="73" w:gutter="0" w:footer="0" w:header="0"/>
        </w:sectPr>
      </w:pPr>
    </w:p>
    <w:bookmarkStart w:id="1" w:name="page2"/>
    <w:bookmarkEnd w:id="1"/>
    <w:p>
      <w:pPr>
        <w:spacing w:after="0" w:line="200" w:lineRule="exact"/>
        <w:rPr>
          <w:sz w:val="20"/>
          <w:szCs w:val="20"/>
          <w:color w:val="auto"/>
        </w:rPr>
      </w:pPr>
    </w:p>
    <w:p>
      <w:pPr>
        <w:spacing w:after="0" w:line="3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 PF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203,133.00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3,378.00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203,133.00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3,378.00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206,511.00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80"/>
          </w:cols>
          <w:pgMar w:left="320" w:top="126" w:right="339" w:bottom="0" w:gutter="0" w:footer="0" w:header="0"/>
        </w:sectPr>
      </w:pPr>
    </w:p>
    <w:p>
      <w:pPr>
        <w:spacing w:after="0" w:line="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Based on 1,998,259 shares of common stock outstanding as of February 9, 2026 as reported by the issuer in</w:t>
      </w:r>
      <w:r>
        <w:rPr>
          <w:rFonts w:ascii="Times New Roman" w:cs="Times New Roman" w:eastAsia="Times New Roman" w:hAnsi="Times New Roman"/>
          <w:sz w:val="19"/>
          <w:szCs w:val="19"/>
          <w:b w:val="1"/>
          <w:bCs w:val="1"/>
          <w:color w:val="auto"/>
        </w:rPr>
        <w:t xml:space="preserve"> Reporting Person: </w:t>
      </w:r>
      <w:r>
        <w:rPr>
          <w:rFonts w:ascii="Times New Roman" w:cs="Times New Roman" w:eastAsia="Times New Roman" w:hAnsi="Times New Roman"/>
          <w:sz w:val="21"/>
          <w:szCs w:val="21"/>
          <w:color w:val="auto"/>
        </w:rPr>
        <w:t>the Form 10-Q filed with the Securities and Exchange Commission on February 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FrontFour Master Fund, Ltd.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WC</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38" w:orient="portrait"/>
          <w:cols w:equalWidth="0" w:num="1">
            <w:col w:w="11240"/>
          </w:cols>
          <w:pgMar w:left="320" w:top="126" w:right="339" w:bottom="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ind w:right="8160"/>
        <w:spacing w:after="0"/>
        <w:rPr>
          <w:sz w:val="20"/>
          <w:szCs w:val="20"/>
          <w:color w:val="auto"/>
        </w:rPr>
      </w:pPr>
      <w:r>
        <w:rPr>
          <w:rFonts w:ascii="Times New Roman" w:cs="Times New Roman" w:eastAsia="Times New Roman" w:hAnsi="Times New Roman"/>
          <w:sz w:val="21"/>
          <w:szCs w:val="21"/>
          <w:color w:val="auto"/>
        </w:rPr>
        <w:t>CAYMAN ISLANDS</w:t>
      </w:r>
    </w:p>
    <w:p>
      <w:pPr>
        <w:spacing w:after="0" w:line="97" w:lineRule="exact"/>
        <w:rPr>
          <w:sz w:val="20"/>
          <w:szCs w:val="20"/>
          <w:color w:val="auto"/>
        </w:rPr>
      </w:pPr>
    </w:p>
    <w:p>
      <w:pPr>
        <w:jc w:val="right"/>
        <w:ind w:right="814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89" w:orient="portrait"/>
          <w:cols w:equalWidth="0" w:num="2">
            <w:col w:w="1100" w:space="60"/>
            <w:col w:w="10080"/>
          </w:cols>
          <w:pgMar w:left="320" w:top="111" w:right="339" w:bottom="0" w:gutter="0" w:footer="0" w:header="0"/>
        </w:sectPr>
      </w:pPr>
    </w:p>
    <w:p>
      <w:pPr>
        <w:spacing w:after="0" w:line="7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Based on 1,998,259 shares of common stock outstanding as of February 9, 2026 as reported by the issuer in</w:t>
      </w:r>
      <w:r>
        <w:rPr>
          <w:rFonts w:ascii="Times New Roman" w:cs="Times New Roman" w:eastAsia="Times New Roman" w:hAnsi="Times New Roman"/>
          <w:sz w:val="19"/>
          <w:szCs w:val="19"/>
          <w:b w:val="1"/>
          <w:bCs w:val="1"/>
          <w:color w:val="auto"/>
        </w:rPr>
        <w:t xml:space="preserve"> Reporting Person: </w:t>
      </w:r>
      <w:r>
        <w:rPr>
          <w:rFonts w:ascii="Times New Roman" w:cs="Times New Roman" w:eastAsia="Times New Roman" w:hAnsi="Times New Roman"/>
          <w:sz w:val="21"/>
          <w:szCs w:val="21"/>
          <w:color w:val="auto"/>
        </w:rPr>
        <w:t>the Form 10-Q filed with the Securities and Exchange Commission on February 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FrontFour Capital Group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AF</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ind w:left="4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11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89" w:orient="portrait"/>
          <w:cols w:equalWidth="0" w:num="1">
            <w:col w:w="11240"/>
          </w:cols>
          <w:pgMar w:left="320" w:top="111" w:right="339" w:bottom="0" w:gutter="0" w:footer="0" w:header="0"/>
          <w:type w:val="continuous"/>
        </w:sectPr>
      </w:pPr>
    </w:p>
    <w:bookmarkStart w:id="3" w:name="page4"/>
    <w:bookmarkEnd w:id="3"/>
    <w:p>
      <w:pPr>
        <w:spacing w:after="0" w:line="22"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if the aggregate amount in Row (11)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13</w:t>
      </w:r>
    </w:p>
    <w:p>
      <w:pPr>
        <w:ind w:left="1160"/>
        <w:spacing w:after="0"/>
        <w:rPr>
          <w:sz w:val="20"/>
          <w:szCs w:val="20"/>
          <w:color w:val="auto"/>
        </w:rPr>
      </w:pPr>
      <w:r>
        <w:rPr>
          <w:rFonts w:ascii="Times New Roman" w:cs="Times New Roman" w:eastAsia="Times New Roman" w:hAnsi="Times New Roman"/>
          <w:sz w:val="22"/>
          <w:szCs w:val="22"/>
          <w:color w:val="auto"/>
        </w:rPr>
        <w:t>0.0 %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14</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9"/>
          <w:szCs w:val="19"/>
          <w:b w:val="1"/>
          <w:bCs w:val="1"/>
          <w:color w:val="auto"/>
        </w:rPr>
        <w:t xml:space="preserve">Comment for Type of </w:t>
      </w:r>
      <w:r>
        <w:rPr>
          <w:rFonts w:ascii="Times New Roman" w:cs="Times New Roman" w:eastAsia="Times New Roman" w:hAnsi="Times New Roman"/>
          <w:sz w:val="21"/>
          <w:szCs w:val="21"/>
          <w:color w:val="auto"/>
        </w:rPr>
        <w:t>Based on 1,998,259 shares of common stock outstanding as of February 9, 2026 as reported by the issuer in</w:t>
      </w:r>
      <w:r>
        <w:rPr>
          <w:rFonts w:ascii="Times New Roman" w:cs="Times New Roman" w:eastAsia="Times New Roman" w:hAnsi="Times New Roman"/>
          <w:sz w:val="19"/>
          <w:szCs w:val="19"/>
          <w:b w:val="1"/>
          <w:bCs w:val="1"/>
          <w:color w:val="auto"/>
        </w:rPr>
        <w:t xml:space="preserve"> Reporting Person: </w:t>
      </w:r>
      <w:r>
        <w:rPr>
          <w:rFonts w:ascii="Times New Roman" w:cs="Times New Roman" w:eastAsia="Times New Roman" w:hAnsi="Times New Roman"/>
          <w:sz w:val="21"/>
          <w:szCs w:val="21"/>
          <w:color w:val="auto"/>
        </w:rPr>
        <w:t>the Form 10-Q filed with the Securities and Exchange Commission on February 9, 2026.</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PhenixFIN Corp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445 Park Avenue, 10th Floor, New York, NEW YORK , 10022.</w:t>
      </w:r>
    </w:p>
    <w:p>
      <w:pPr>
        <w:spacing w:after="0" w:line="20" w:lineRule="exact"/>
        <w:rPr>
          <w:sz w:val="20"/>
          <w:szCs w:val="20"/>
          <w:color w:val="auto"/>
        </w:rPr>
      </w:pPr>
    </w:p>
    <w:p>
      <w:pPr>
        <w:jc w:val="right"/>
        <w:ind w:left="40" w:right="40"/>
        <w:spacing w:after="0" w:line="246" w:lineRule="auto"/>
        <w:rPr>
          <w:sz w:val="20"/>
          <w:szCs w:val="20"/>
          <w:color w:val="auto"/>
        </w:rPr>
      </w:pPr>
      <w:r>
        <w:rPr>
          <w:rFonts w:ascii="Times New Roman" w:cs="Times New Roman" w:eastAsia="Times New Roman" w:hAnsi="Times New Roman"/>
          <w:sz w:val="19"/>
          <w:szCs w:val="19"/>
          <w:b w:val="1"/>
          <w:bCs w:val="1"/>
          <w:color w:val="auto"/>
        </w:rPr>
        <w:t xml:space="preserve">Item 1    </w:t>
      </w:r>
      <w:r>
        <w:rPr>
          <w:rFonts w:ascii="Times New Roman" w:cs="Times New Roman" w:eastAsia="Times New Roman" w:hAnsi="Times New Roman"/>
          <w:sz w:val="21"/>
          <w:szCs w:val="21"/>
          <w:color w:val="auto"/>
        </w:rPr>
        <w:t>This Amendment No. 5 amends the Schedule 13D originally filed with the U.S. Securities and Exchange</w:t>
      </w:r>
      <w:r>
        <w:rPr>
          <w:rFonts w:ascii="Times New Roman" w:cs="Times New Roman" w:eastAsia="Times New Roman" w:hAnsi="Times New Roman"/>
          <w:sz w:val="19"/>
          <w:szCs w:val="19"/>
          <w:b w:val="1"/>
          <w:bCs w:val="1"/>
          <w:color w:val="auto"/>
        </w:rPr>
        <w:t xml:space="preserve"> Comment: </w:t>
      </w:r>
      <w:r>
        <w:rPr>
          <w:rFonts w:ascii="Times New Roman" w:cs="Times New Roman" w:eastAsia="Times New Roman" w:hAnsi="Times New Roman"/>
          <w:sz w:val="21"/>
          <w:szCs w:val="21"/>
          <w:color w:val="auto"/>
        </w:rPr>
        <w:t>Commission ("SEC") on December 20, 2021, as amended by Amendment No. 1 filed with the SEC on May 16, 2022,</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21"/>
          <w:szCs w:val="21"/>
          <w:color w:val="auto"/>
        </w:rPr>
        <w:t>Amendment No. 2 filed with the SEC on January 3, 2023, Amendment No. 3 filed with the SEC on March 5, 2024, and Amendment No. 4 filed with the SEC on June 18, 2025 (the "Schedule 13D"), by David A. Lorber, FrontFour Master Fund, Ltd. and FrontFour Capital Group LLC (collectively, the "Reporting Persons"), with respect to the</w:t>
      </w:r>
    </w:p>
    <w:p>
      <w:pPr>
        <w:spacing w:after="0" w:line="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2"/>
          <w:szCs w:val="22"/>
          <w:color w:val="auto"/>
        </w:rPr>
        <w:t>common stock (the "Common Stock") of PhenixFIN Corporation (the "Company").</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60" w:right="60"/>
        <w:spacing w:after="0" w:line="235" w:lineRule="auto"/>
        <w:rPr>
          <w:sz w:val="20"/>
          <w:szCs w:val="20"/>
          <w:color w:val="auto"/>
        </w:rPr>
      </w:pPr>
      <w:r>
        <w:rPr>
          <w:rFonts w:ascii="Times New Roman" w:cs="Times New Roman" w:eastAsia="Times New Roman" w:hAnsi="Times New Roman"/>
          <w:sz w:val="22"/>
          <w:szCs w:val="22"/>
          <w:color w:val="auto"/>
        </w:rPr>
        <w:t>Item 4 of the Schedule 13D is hereby amended and supplemented by inserting the following information at the end of Item 4: On March 31, 2026, FrontFour Master Fund, Ltd. (the "Master Fund") made a pro rata in-kind distribution of the 81,662.416 shares of Common Stock it held to its investors. Mr. Lorber received 56,537 shares of the Common Stock solely in his capacity as an investor in the Master Fund as a result of the distribution. Mr. Lorber had previously reported beneficial ownership of all 81,662.416 shares of Common Stock held by the Master Fund on this Schedule 13D. No additional consideration was paid by Mr. Lorber in connection with the distribution of the Common Stock. As result of the distribution, the Master Fund and FrontFour Capital Group LLC, the investment manager of the Master Fund, no longer beneficially own any shares of Common Stock.</w:t>
      </w:r>
    </w:p>
    <w:p>
      <w:pPr>
        <w:spacing w:after="0" w:line="16"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1"/>
          <w:szCs w:val="21"/>
          <w:color w:val="auto"/>
        </w:rPr>
        <w:t>As of the date hereof, Mr. Lorber beneficially owns 206,511 shares of Common Stock, 3,378 shares of which are held</w:t>
      </w:r>
    </w:p>
    <w:p>
      <w:pPr>
        <w:spacing w:after="0" w:line="26" w:lineRule="exact"/>
        <w:rPr>
          <w:sz w:val="20"/>
          <w:szCs w:val="20"/>
          <w:color w:val="auto"/>
        </w:rPr>
      </w:pPr>
    </w:p>
    <w:p>
      <w:pPr>
        <w:ind w:left="960" w:right="220" w:hanging="912"/>
        <w:spacing w:after="0" w:line="184" w:lineRule="auto"/>
        <w:tabs>
          <w:tab w:leader="none" w:pos="960" w:val="left"/>
        </w:tabs>
        <w:numPr>
          <w:ilvl w:val="0"/>
          <w:numId w:val="7"/>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in his spouse's IRA, representing approximately 10.3% of the Company's outstanding Common Stock, based on 1,998,259 shares of Common Stock outstanding as of February 9, 2026 as reported by the Company in the Form 10-Q filed with the Securities and Exchange Commission on February 9, 2026.</w:t>
      </w:r>
    </w:p>
    <w:p>
      <w:pPr>
        <w:spacing w:after="0" w:line="18" w:lineRule="exact"/>
        <w:rPr>
          <w:rFonts w:ascii="Times New Roman" w:cs="Times New Roman" w:eastAsia="Times New Roman" w:hAnsi="Times New Roman"/>
          <w:sz w:val="42"/>
          <w:szCs w:val="42"/>
          <w:color w:val="auto"/>
          <w:vertAlign w:val="subscript"/>
        </w:rPr>
      </w:pPr>
    </w:p>
    <w:p>
      <w:pPr>
        <w:ind w:left="960" w:right="26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Mr. Lorber has sole voting and dispositive power with respect to the 203,133 shares of Common Stock held directly by him and shared voting and dispositive power of the 3,378 shares of Common Stock held in his spouse's IRA.</w:t>
      </w:r>
    </w:p>
    <w:p>
      <w:pPr>
        <w:spacing w:after="0" w:line="17" w:lineRule="exact"/>
        <w:rPr>
          <w:rFonts w:ascii="Times New Roman" w:cs="Times New Roman" w:eastAsia="Times New Roman" w:hAnsi="Times New Roman"/>
          <w:sz w:val="39"/>
          <w:szCs w:val="39"/>
          <w:color w:val="auto"/>
          <w:vertAlign w:val="subscript"/>
        </w:rPr>
      </w:pPr>
    </w:p>
    <w:p>
      <w:pPr>
        <w:ind w:left="960" w:hanging="912"/>
        <w:spacing w:after="0"/>
        <w:tabs>
          <w:tab w:leader="none" w:pos="9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set forth herein, there have been no other transactions by the Reporting Persons in the Common Stock.</w:t>
      </w:r>
    </w:p>
    <w:p>
      <w:pPr>
        <w:spacing w:after="0" w:line="44" w:lineRule="exact"/>
        <w:rPr>
          <w:sz w:val="20"/>
          <w:szCs w:val="20"/>
          <w:color w:val="auto"/>
        </w:rPr>
      </w:pPr>
    </w:p>
    <w:p>
      <w:pPr>
        <w:ind w:left="960" w:right="520" w:hanging="912"/>
        <w:spacing w:after="0" w:line="185" w:lineRule="auto"/>
        <w:tabs>
          <w:tab w:leader="none" w:pos="960" w:val="left"/>
        </w:tabs>
        <w:numPr>
          <w:ilvl w:val="0"/>
          <w:numId w:val="8"/>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As of March 31, 2026, the Master Fund and FrontFour Capital Group LLC do not beneficially own any shares of Common Stock.</w:t>
      </w:r>
    </w:p>
    <w:p>
      <w:pPr>
        <w:spacing w:after="0" w:line="28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right="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22"/>
          <w:szCs w:val="22"/>
          <w:color w:val="auto"/>
        </w:rPr>
        <w:t>David A. Lorber</w:t>
      </w:r>
    </w:p>
    <w:p>
      <w:pPr>
        <w:sectPr>
          <w:pgSz w:w="11900" w:h="16860" w:orient="portrait"/>
          <w:cols w:equalWidth="0" w:num="1">
            <w:col w:w="11240"/>
          </w:cols>
          <w:pgMar w:left="320" w:top="355" w:right="339" w:bottom="0" w:gutter="0" w:footer="0" w:header="0"/>
        </w:sectPr>
      </w:pPr>
    </w:p>
    <w:bookmarkStart w:id="4" w:name="page5"/>
    <w:bookmarkEnd w:id="4"/>
    <w:p>
      <w:pPr>
        <w:ind w:left="190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 Lorber</w:t>
      </w:r>
    </w:p>
    <w:p>
      <w:pPr>
        <w:spacing w:after="0" w:line="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Name/Title: David A. Lorber</w:t>
      </w:r>
    </w:p>
    <w:p>
      <w:pPr>
        <w:spacing w:after="0" w:line="44" w:lineRule="exact"/>
        <w:rPr>
          <w:sz w:val="20"/>
          <w:szCs w:val="20"/>
          <w:color w:val="auto"/>
        </w:rPr>
      </w:pPr>
    </w:p>
    <w:p>
      <w:pPr>
        <w:ind w:left="190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22"/>
          <w:szCs w:val="22"/>
          <w:color w:val="auto"/>
        </w:rPr>
        <w:t>FrontFour Master Fund, Ltd.</w:t>
      </w:r>
    </w:p>
    <w:p>
      <w:pPr>
        <w:spacing w:after="0" w:line="152" w:lineRule="exact"/>
        <w:rPr>
          <w:sz w:val="20"/>
          <w:szCs w:val="20"/>
          <w:color w:val="auto"/>
        </w:rPr>
      </w:pPr>
    </w:p>
    <w:p>
      <w:pPr>
        <w:ind w:left="190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 Lorber</w:t>
      </w:r>
    </w:p>
    <w:p>
      <w:pPr>
        <w:spacing w:after="0" w:line="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Name/Title: David A. Lorber</w:t>
      </w:r>
    </w:p>
    <w:p>
      <w:pPr>
        <w:spacing w:after="0" w:line="44" w:lineRule="exact"/>
        <w:rPr>
          <w:sz w:val="20"/>
          <w:szCs w:val="20"/>
          <w:color w:val="auto"/>
        </w:rPr>
      </w:pPr>
    </w:p>
    <w:p>
      <w:pPr>
        <w:ind w:left="190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p>
      <w:pPr>
        <w:spacing w:after="0" w:line="152"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2"/>
          <w:szCs w:val="22"/>
          <w:color w:val="auto"/>
        </w:rPr>
        <w:t>FrontFour Capital Group LLC</w:t>
      </w:r>
    </w:p>
    <w:p>
      <w:pPr>
        <w:spacing w:after="0" w:line="152" w:lineRule="exact"/>
        <w:rPr>
          <w:sz w:val="20"/>
          <w:szCs w:val="20"/>
          <w:color w:val="auto"/>
        </w:rPr>
      </w:pPr>
    </w:p>
    <w:p>
      <w:pPr>
        <w:ind w:left="1900"/>
        <w:spacing w:after="0"/>
        <w:tabs>
          <w:tab w:leader="none" w:pos="2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A. Lorber</w:t>
      </w:r>
    </w:p>
    <w:p>
      <w:pPr>
        <w:spacing w:after="0" w:line="44"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2"/>
          <w:szCs w:val="22"/>
          <w:color w:val="auto"/>
        </w:rPr>
        <w:t>Name/Title: David A. Lorber</w:t>
      </w:r>
    </w:p>
    <w:p>
      <w:pPr>
        <w:spacing w:after="0" w:line="44" w:lineRule="exact"/>
        <w:rPr>
          <w:sz w:val="20"/>
          <w:szCs w:val="20"/>
          <w:color w:val="auto"/>
        </w:rPr>
      </w:pPr>
    </w:p>
    <w:p>
      <w:pPr>
        <w:ind w:left="1900"/>
        <w:spacing w:after="0"/>
        <w:tabs>
          <w:tab w:leader="none" w:pos="2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04/02/2026</w:t>
      </w:r>
    </w:p>
    <w:sectPr>
      <w:pgSz w:w="11900" w:h="16838" w:orient="portrait"/>
      <w:cols w:equalWidth="0" w:num="1">
        <w:col w:w="9019"/>
      </w:cols>
      <w:pgMar w:left="1440" w:top="23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2"/>
      <w:numFmt w:val="bullet"/>
      <w:start w:val="1"/>
    </w:lvl>
  </w:abstractNum>
  <w:abstractNum w:abstractNumId="2">
    <w:nsid w:val="3D1B58BA"/>
    <w:multiLevelType w:val="hybridMultilevel"/>
    <w:lvl w:ilvl="0">
      <w:lvlJc w:val="left"/>
      <w:lvlText w:val="3"/>
      <w:numFmt w:val="bullet"/>
      <w:start w:val="1"/>
    </w:lvl>
  </w:abstractNum>
  <w:abstractNum w:abstractNumId="3">
    <w:nsid w:val="507ED7AB"/>
    <w:multiLevelType w:val="hybridMultilevel"/>
    <w:lvl w:ilvl="0">
      <w:lvlJc w:val="left"/>
      <w:lvlText w:val="6"/>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2026-04-02T15:55:28Z</dcterms:created>
  <dcterms:modified xsi:type="dcterms:W3CDTF">2026-04-02T15:55:28Z</dcterms:modified>
</cp:coreProperties>
</file>