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258-8k_phenixfin.htm"/>
      <w:bookmarkStart w:id="1" w:name="ksea03002588k_phenixfi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495"/>
        <w:gridCol w:w="60"/>
        <w:gridCol w:w="2135"/>
        <w:gridCol w:w="60"/>
        <w:gridCol w:w="1505"/>
      </w:tblGrid>
      <w:tr>
        <w:trPr/>
        <w:tc>
          <w:tcPr>
            <w:tcW w:w="2495" w:type="dxa"/>
            <w:tcBorders>
              <w:bottom w:val="single" w:sz="12" w:space="0" w:color="000000"/>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135"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805"/>
            <w:bookmarkEnd w:id="6"/>
            <w:r>
              <w:rPr>
                <w:b/>
                <w:sz w:val="20"/>
              </w:rPr>
              <w:t>814-00818</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27-4576073</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3755"/>
        <w:gridCol w:w="60"/>
        <w:gridCol w:w="875"/>
      </w:tblGrid>
      <w:tr>
        <w:trPr/>
        <w:tc>
          <w:tcPr>
            <w:tcW w:w="3755" w:type="dxa"/>
            <w:tcBorders>
              <w:bottom w:val="single" w:sz="12" w:space="0" w:color="000000"/>
            </w:tcBorders>
            <w:vAlign w:val="center"/>
          </w:tcPr>
          <w:p>
            <w:pPr>
              <w:pStyle w:val="TableContents"/>
              <w:bidi w:val="0"/>
              <w:spacing w:before="0" w:after="283"/>
              <w:jc w:val="center"/>
              <w:rPr/>
            </w:pPr>
            <w:bookmarkStart w:id="8" w:name="xdx_90B_edei--EntityAddressAddressLine1_"/>
            <w:bookmarkEnd w:id="8"/>
            <w:r>
              <w:rPr>
                <w:b/>
                <w:sz w:val="20"/>
              </w:rPr>
              <w:t xml:space="preserve">445 Park Avenue, </w:t>
            </w:r>
            <w:bookmarkStart w:id="9" w:name="xdx_901_edei--EntityAddressAddressLine2_"/>
            <w:bookmarkEnd w:id="9"/>
            <w:r>
              <w:rPr>
                <w:b/>
                <w:sz w:val="20"/>
              </w:rPr>
              <w:t>10</w:t>
            </w:r>
            <w:r>
              <w:rPr>
                <w:b/>
                <w:position w:val="7"/>
                <w:sz w:val="16"/>
                <w:sz w:val="20"/>
              </w:rPr>
              <w:t>th</w:t>
            </w:r>
            <w:r>
              <w:rPr>
                <w:b/>
                <w:sz w:val="20"/>
              </w:rPr>
              <w:t xml:space="preserve"> Floor, </w:t>
            </w:r>
            <w:bookmarkStart w:id="10" w:name="xdx_90E_edei--EntityAddressCityOrTown_c2"/>
            <w:bookmarkEnd w:id="10"/>
            <w:r>
              <w:rPr>
                <w:b/>
                <w:sz w:val="20"/>
              </w:rPr>
              <w:t xml:space="preserve">New York, </w:t>
            </w:r>
            <w:bookmarkStart w:id="11" w:name="xdx_903_edei--EntityAddressStateOrProvin"/>
            <w:bookmarkEnd w:id="11"/>
            <w:r>
              <w:rPr>
                <w:b/>
                <w:sz w:val="20"/>
              </w:rPr>
              <w:t>NY</w:t>
            </w:r>
          </w:p>
        </w:tc>
        <w:tc>
          <w:tcPr>
            <w:tcW w:w="60" w:type="dxa"/>
            <w:tcBorders/>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vAlign w:val="center"/>
          </w:tcPr>
          <w:p>
            <w:pPr>
              <w:pStyle w:val="TableContents"/>
              <w:bidi w:val="0"/>
              <w:spacing w:before="0" w:after="283"/>
              <w:jc w:val="center"/>
              <w:rPr>
                <w:b/>
                <w:sz w:val="20"/>
              </w:rPr>
            </w:pPr>
            <w:bookmarkStart w:id="12" w:name="xdx_906_edei--EntityAddressPostalZipCode"/>
            <w:bookmarkEnd w:id="12"/>
            <w:r>
              <w:rPr>
                <w:b/>
                <w:sz w:val="20"/>
              </w:rPr>
              <w:t>10022</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875"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60805__20"/>
      <w:bookmarkEnd w:id="13"/>
      <w:r>
        <w:rPr>
          <w:rFonts w:ascii="Times New Roman;Times;Serif" w:hAnsi="Times New Roman;Times;Serif"/>
          <w:b/>
          <w:i w:val="false"/>
          <w:caps w:val="false"/>
          <w:smallCaps w:val="false"/>
          <w:sz w:val="20"/>
        </w:rPr>
        <w:t xml:space="preserve">212) </w:t>
      </w:r>
      <w:bookmarkStart w:id="14" w:name="xdx_908_edei--LocalPhoneNumber_c20260805"/>
      <w:bookmarkEnd w:id="14"/>
      <w:r>
        <w:rPr>
          <w:rFonts w:ascii="Times New Roman;Times;Serif" w:hAnsi="Times New Roman;Times;Serif"/>
          <w:b/>
          <w:i w:val="false"/>
          <w:caps w:val="false"/>
          <w:smallCaps w:val="false"/>
          <w:sz w:val="20"/>
        </w:rPr>
        <w:t>859-0390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D_edei--SolicitingMaterial_c202608"/>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40" w:type="dxa"/>
        <w:jc w:val="left"/>
        <w:tblInd w:w="0" w:type="dxa"/>
        <w:tblLayout w:type="fixed"/>
        <w:tblCellMar>
          <w:top w:w="0" w:type="dxa"/>
          <w:left w:w="0" w:type="dxa"/>
          <w:bottom w:w="28" w:type="dxa"/>
          <w:right w:w="0" w:type="dxa"/>
        </w:tblCellMar>
      </w:tblPr>
      <w:tblGrid>
        <w:gridCol w:w="3515"/>
        <w:gridCol w:w="60"/>
        <w:gridCol w:w="1535"/>
        <w:gridCol w:w="60"/>
        <w:gridCol w:w="3170"/>
      </w:tblGrid>
      <w:tr>
        <w:trPr/>
        <w:tc>
          <w:tcPr>
            <w:tcW w:w="351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12" w:space="0" w:color="000000"/>
            </w:tcBorders>
            <w:vAlign w:val="center"/>
          </w:tcPr>
          <w:p>
            <w:pPr>
              <w:pStyle w:val="TableContents"/>
              <w:bidi w:val="0"/>
              <w:spacing w:before="0" w:after="283"/>
              <w:jc w:val="center"/>
              <w:rPr>
                <w:sz w:val="20"/>
              </w:rPr>
            </w:pPr>
            <w:r>
              <w:rPr>
                <w:sz w:val="20"/>
              </w:rPr>
              <w:t>Name of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sz w:val="20"/>
              </w:rPr>
            </w:pPr>
            <w:bookmarkStart w:id="19" w:name="xdx_903_edei--Security12bTitle_c20260805"/>
            <w:bookmarkEnd w:id="19"/>
            <w:r>
              <w:rPr>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A_edei--TradingSymbol_c20260805__2"/>
            <w:bookmarkEnd w:id="20"/>
            <w:r>
              <w:rPr>
                <w:sz w:val="20"/>
              </w:rPr>
              <w:t>PFX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B_edei--SecurityExchangeName_c2026"/>
            <w:bookmarkEnd w:id="21"/>
            <w:r>
              <w:rPr>
                <w:sz w:val="20"/>
              </w:rPr>
              <w:t>NASDAQ Global Market</w:t>
            </w:r>
          </w:p>
        </w:tc>
      </w:tr>
      <w:tr>
        <w:trPr/>
        <w:tc>
          <w:tcPr>
            <w:tcW w:w="3515" w:type="dxa"/>
            <w:tcBorders/>
            <w:shd w:fill="FFFFFF" w:val="clear"/>
            <w:tcMar>
              <w:bottom w:w="0" w:type="dxa"/>
            </w:tcMar>
            <w:vAlign w:val="center"/>
          </w:tcPr>
          <w:p>
            <w:pPr>
              <w:pStyle w:val="TableContents"/>
              <w:bidi w:val="0"/>
              <w:spacing w:before="0" w:after="283"/>
              <w:jc w:val="center"/>
              <w:rPr>
                <w:sz w:val="20"/>
              </w:rPr>
            </w:pPr>
            <w:bookmarkStart w:id="22" w:name="xdx_901_edei--Security12bTitle_c20260805"/>
            <w:bookmarkEnd w:id="22"/>
            <w:r>
              <w:rPr>
                <w:sz w:val="20"/>
              </w:rPr>
              <w:t>5.25%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bookmarkStart w:id="23" w:name="xdx_90A_edei--TradingSymbol_c20260805__2"/>
            <w:bookmarkEnd w:id="23"/>
            <w:r>
              <w:rPr>
                <w:sz w:val="20"/>
              </w:rPr>
              <w:t>PFXNZ</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F_edei--SecurityExchangeName_c2026"/>
            <w:bookmarkEnd w:id="24"/>
            <w:r>
              <w:rPr>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PhenixFIN Corporation issued a press release announcing its financial results for the quarter ended June 30, 2026. The press release is included as Exhibit 99.1 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1145"/>
        <w:gridCol w:w="60"/>
        <w:gridCol w:w="7475"/>
      </w:tblGrid>
      <w:tr>
        <w:trPr/>
        <w:tc>
          <w:tcPr>
            <w:tcW w:w="1145"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7475" w:type="dxa"/>
            <w:tcBorders>
              <w:bottom w:val="single" w:sz="12" w:space="0" w:color="000000"/>
            </w:tcBorders>
            <w:vAlign w:val="center"/>
          </w:tcPr>
          <w:p>
            <w:pPr>
              <w:pStyle w:val="TableContents"/>
              <w:bidi w:val="0"/>
              <w:spacing w:before="0" w:after="283"/>
              <w:jc w:val="left"/>
              <w:rPr/>
            </w:pPr>
            <w:r>
              <w:rPr/>
              <w:t>Description</w:t>
            </w:r>
          </w:p>
        </w:tc>
      </w:tr>
      <w:tr>
        <w:trPr/>
        <w:tc>
          <w:tcPr>
            <w:tcW w:w="114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left"/>
              <w:rPr/>
            </w:pPr>
            <w:hyperlink w:anchor="ea030025801ex99-1.htm">
              <w:r>
                <w:rPr>
                  <w:rStyle w:val="InternetLink"/>
                </w:rPr>
                <w:t>Press Release dated August 5, 2026</w:t>
              </w:r>
            </w:hyperlink>
          </w:p>
        </w:tc>
      </w:tr>
      <w:tr>
        <w:trPr/>
        <w:tc>
          <w:tcPr>
            <w:tcW w:w="114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7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PhenixFIN Corporation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589" w:type="dxa"/>
        <w:jc w:val="left"/>
        <w:tblInd w:w="0" w:type="dxa"/>
        <w:tblLayout w:type="fixed"/>
        <w:tblCellMar>
          <w:top w:w="0" w:type="dxa"/>
          <w:left w:w="0" w:type="dxa"/>
          <w:bottom w:w="0" w:type="dxa"/>
          <w:right w:w="0" w:type="dxa"/>
        </w:tblCellMar>
      </w:tblPr>
      <w:tblGrid>
        <w:gridCol w:w="2285"/>
        <w:gridCol w:w="728"/>
        <w:gridCol w:w="2576"/>
      </w:tblGrid>
      <w:tr>
        <w:trPr/>
        <w:tc>
          <w:tcPr>
            <w:tcW w:w="2285" w:type="dxa"/>
            <w:tcBorders/>
            <w:vAlign w:val="center"/>
          </w:tcPr>
          <w:p>
            <w:pPr>
              <w:pStyle w:val="TableContents"/>
              <w:bidi w:val="0"/>
              <w:spacing w:before="0" w:after="283"/>
              <w:jc w:val="left"/>
              <w:rPr/>
            </w:pPr>
            <w:r>
              <w:rPr/>
              <w:t>DATE: August 5, 2026</w:t>
            </w:r>
          </w:p>
        </w:tc>
        <w:tc>
          <w:tcPr>
            <w:tcW w:w="3304" w:type="dxa"/>
            <w:gridSpan w:val="2"/>
            <w:tcBorders/>
            <w:vAlign w:val="center"/>
          </w:tcPr>
          <w:p>
            <w:pPr>
              <w:pStyle w:val="TableContents"/>
              <w:bidi w:val="0"/>
              <w:spacing w:before="0" w:after="283"/>
              <w:jc w:val="left"/>
              <w:rPr>
                <w:b/>
              </w:rPr>
            </w:pPr>
            <w:r>
              <w:rPr>
                <w:b/>
              </w:rPr>
              <w:t>PHENIXFIN CORPORATION</w:t>
            </w:r>
          </w:p>
        </w:tc>
      </w:tr>
      <w:tr>
        <w:trPr/>
        <w:tc>
          <w:tcPr>
            <w:tcW w:w="228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3304" w:type="dxa"/>
            <w:gridSpan w:val="2"/>
            <w:tcBorders>
              <w:bottom w:val="single" w:sz="12" w:space="0" w:color="000000"/>
            </w:tcBorders>
            <w:tcMar>
              <w:bottom w:w="28" w:type="dxa"/>
            </w:tcMar>
            <w:vAlign w:val="center"/>
          </w:tcPr>
          <w:p>
            <w:pPr>
              <w:pStyle w:val="TableContents"/>
              <w:bidi w:val="0"/>
              <w:spacing w:before="0" w:after="283"/>
              <w:jc w:val="left"/>
              <w:rPr/>
            </w:pPr>
            <w:r>
              <w:rPr/>
              <w:t xml:space="preserve">/s/ David Lorber </w:t>
            </w:r>
          </w:p>
        </w:tc>
      </w:tr>
      <w:tr>
        <w:trPr/>
        <w:tc>
          <w:tcPr>
            <w:tcW w:w="228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Name:</w:t>
            </w:r>
          </w:p>
        </w:tc>
        <w:tc>
          <w:tcPr>
            <w:tcW w:w="2576" w:type="dxa"/>
            <w:tcBorders/>
            <w:vAlign w:val="center"/>
          </w:tcPr>
          <w:p>
            <w:pPr>
              <w:pStyle w:val="TableContents"/>
              <w:bidi w:val="0"/>
              <w:spacing w:before="0" w:after="283"/>
              <w:jc w:val="left"/>
              <w:rPr/>
            </w:pPr>
            <w:r>
              <w:rPr/>
              <w:t>David Lorber</w:t>
            </w:r>
          </w:p>
        </w:tc>
      </w:tr>
      <w:tr>
        <w:trPr/>
        <w:tc>
          <w:tcPr>
            <w:tcW w:w="228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Title:</w:t>
            </w:r>
          </w:p>
        </w:tc>
        <w:tc>
          <w:tcPr>
            <w:tcW w:w="2576" w:type="dxa"/>
            <w:tcBorders/>
            <w:vAlign w:val="center"/>
          </w:tcPr>
          <w:p>
            <w:pPr>
              <w:pStyle w:val="TableContents"/>
              <w:bidi w:val="0"/>
              <w:spacing w:before="0" w:after="283"/>
              <w:jc w:val="left"/>
              <w:rPr/>
            </w:pPr>
            <w:r>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6" w:name="ea030025801ex99-1.htm"/>
      <w:bookmarkStart w:id="27" w:name="ksea030025801ex991"/>
      <w:bookmarkEnd w:id="26"/>
      <w:bookmarkEnd w:id="27"/>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 Announces Third Quarter 2026 Financial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Internalized Management Team NAV/Share reaches Six Year High of $81.69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August 5, 2026 -- PhenixFIN Corporation (NASDAQ: PFX, PFXNZ) (the "Company"), a publicly traded business development company, today announced its financial results for the third fiscal quarter of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223"/>
        <w:gridCol w:w="9933"/>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223" w:type="dxa"/>
            <w:tcBorders/>
            <w:shd w:fill="FFFFFF" w:val="clear"/>
            <w:vAlign w:val="center"/>
          </w:tcPr>
          <w:p>
            <w:pPr>
              <w:pStyle w:val="TableContents"/>
              <w:bidi w:val="0"/>
              <w:spacing w:before="0" w:after="283"/>
              <w:jc w:val="left"/>
              <w:rPr/>
            </w:pPr>
            <w:r>
              <w:rPr/>
              <w:t>●</w:t>
            </w:r>
          </w:p>
        </w:tc>
        <w:tc>
          <w:tcPr>
            <w:tcW w:w="9933" w:type="dxa"/>
            <w:tcBorders/>
            <w:shd w:fill="FFFFFF" w:val="clear"/>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Third quarter total investment income of $6.5 million; net investment income of $2.1 million</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Net asset value (NAV) of $157.9 million, or $81.69 per share as of June 30, 2026 vs $79.56 per share as of March 31, 2026</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47"/>
        <w:gridCol w:w="210"/>
        <w:gridCol w:w="9948"/>
      </w:tblGrid>
      <w:tr>
        <w:trPr/>
        <w:tc>
          <w:tcPr>
            <w:tcW w:w="47"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pPr>
            <w:r>
              <w:rPr/>
              <w:t>●</w:t>
            </w:r>
          </w:p>
        </w:tc>
        <w:tc>
          <w:tcPr>
            <w:tcW w:w="9948" w:type="dxa"/>
            <w:tcBorders/>
            <w:shd w:fill="FFFFFF" w:val="clear"/>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Weighted average yield was 13.2% on debt and other income producing investments</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A special dividend of $0.07 per share was paid on May 28, 2026, to stockholders of record as of May 18, 2026</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David Lorber, Chief Executive Officer of the Company, stated: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Credit quality across our portfolio remained resilient this quarter amid persistent macroeconomic volatility. We continue to source attractive private credit opportunities while optimizing our platform, with continued focus on enhancing long-term shareholder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Selected Third Quarter 2026 Financial Results for the Quarter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 was $6.5 million of which $6.2 million was attributable to portfolio interest, dividend income and PIK interest and $0.3 million was attributable to fee and 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Total expenses were $4.4 million and total net investment income was $2.1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recorded a net realized gain of </w:t>
      </w:r>
      <w:r>
        <w:rPr>
          <w:rFonts w:ascii="Times New Roman;Times;Serif" w:hAnsi="Times New Roman;Times;Serif"/>
          <w:b w:val="false"/>
          <w:i w:val="false"/>
          <w:caps w:val="false"/>
          <w:smallCaps w:val="false"/>
          <w:sz w:val="20"/>
        </w:rPr>
        <w:t xml:space="preserve">$0.4 million </w:t>
      </w:r>
      <w:r>
        <w:rPr>
          <w:rFonts w:ascii="Times New Roman;Times;Serif" w:hAnsi="Times New Roman;Times;Serif"/>
          <w:b w:val="false"/>
          <w:i w:val="false"/>
          <w:caps w:val="false"/>
          <w:smallCaps w:val="false"/>
          <w:sz w:val="20"/>
          <w:shd w:fill="FFFFFF" w:val="clear"/>
        </w:rPr>
        <w:t xml:space="preserve">and net unrealized gain of $1.8 million.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Portfolio and Investment Activities for the Quarter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fair value of the Company's investment portfolio totaled </w:t>
      </w:r>
      <w:r>
        <w:rPr>
          <w:rFonts w:ascii="Times New Roman;Times;Serif" w:hAnsi="Times New Roman;Times;Serif"/>
          <w:b w:val="false"/>
          <w:i w:val="false"/>
          <w:caps w:val="false"/>
          <w:smallCaps w:val="false"/>
          <w:sz w:val="20"/>
        </w:rPr>
        <w:t xml:space="preserve">$301.6 </w:t>
      </w:r>
      <w:r>
        <w:rPr>
          <w:rFonts w:ascii="Times New Roman;Times;Serif" w:hAnsi="Times New Roman;Times;Serif"/>
          <w:b w:val="false"/>
          <w:i w:val="false"/>
          <w:caps w:val="false"/>
          <w:smallCaps w:val="false"/>
          <w:sz w:val="20"/>
          <w:shd w:fill="FFFFFF" w:val="clear"/>
        </w:rPr>
        <w:t>million and consisted of 31 portfolio companies.</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At June 30, 2026, the Company had </w:t>
      </w: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shd w:fill="FFFFFF" w:val="clear"/>
        </w:rPr>
        <w:t xml:space="preserve">million in cash and cash equivalents,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57.5 million in aggregate principal amount of its 5.25% unsecured notes due 2028 and $</w:t>
      </w:r>
      <w:r>
        <w:rPr>
          <w:rFonts w:ascii="Times New Roman;Times;Serif" w:hAnsi="Times New Roman;Times;Serif"/>
          <w:b w:val="false"/>
          <w:i w:val="false"/>
          <w:caps w:val="false"/>
          <w:smallCaps w:val="false"/>
          <w:sz w:val="20"/>
        </w:rPr>
        <w:t xml:space="preserve">90.0 </w:t>
      </w:r>
      <w:r>
        <w:rPr>
          <w:rFonts w:ascii="Times New Roman;Times;Serif" w:hAnsi="Times New Roman;Times;Serif"/>
          <w:b w:val="false"/>
          <w:i w:val="false"/>
          <w:caps w:val="false"/>
          <w:smallCaps w:val="false"/>
          <w:sz w:val="20"/>
          <w:shd w:fill="FFFFFF" w:val="clear"/>
        </w:rPr>
        <w:t>million outstanding under the Credit Facility.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PHENIXFIN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PhenixFIN Corporation is a non-diversified, internally managed closed-end management investment company incorporated in Delaware that has elected to be regulated as a business development company under the Investment Company Act of 1940, as amended. We completed our initial public offering and commenced operations on January 20, 2011. The Company has elected, and intends to qualify annually, to be treated, for U.S. federal income tax purposes, as a regulated investment company under Subchapter M of the Internal Revenue Code of 1986, as amended. Effective January 1, 2021, the Company operates under an internalized management structure.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Safe Harbor Statement and Other Disclosures</w:t>
      </w:r>
    </w:p>
    <w:p>
      <w:pPr>
        <w:pStyle w:val="TextBody"/>
        <w:bidi w:val="0"/>
        <w:spacing w:before="0" w:after="0"/>
        <w:ind w:left="0" w:right="0" w:hanging="0"/>
        <w:jc w:val="both"/>
        <w:rPr>
          <w:caps/>
        </w:rPr>
      </w:pPr>
      <w:r>
        <w:rPr>
          <w:caps/>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contains “forward-looking” statements. Such forward-looking statements reflect current views with respect to future events and financial performance, and the Company may make related oral forward-looking statements on or following the date hereof. These forward-looking statements are subject to the inherent uncertainties in predicting future results and conditions. Certain factors could cause actual results and conditions to differ materially from those projected in these forward-looking statements, including among other things, PhenixFIN’s ability to deliver long-term value to shareholders, increase investment activity, increase net investment income, implement its investment strategy and achieve its investment objective, source and capitalize on investment opportunities, grow its net asset value and perform well in the prevailing market environment, the ability of our portfolio companies to perform well and generate income and other factors that are enumerated in the Company’s periodic filings with the Securities and Exchange Commission. PhenixFIN Corporation disclaims and does not undertake any obligation to update or revise any forward-looking statement in this press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Past performance is not a guarantee of future results.</w:t>
      </w:r>
      <w:r>
        <w:rPr>
          <w:rFonts w:ascii="Times New Roman;Times;Serif" w:hAnsi="Times New Roman;Times;Serif"/>
          <w:b w:val="false"/>
          <w:i w:val="false"/>
          <w:caps w:val="false"/>
          <w:smallCaps w:val="false"/>
          <w:sz w:val="20"/>
          <w:shd w:fill="FFFFFF" w:val="clear"/>
        </w:rPr>
        <w:t xml:space="preserve"> The press release contains unaudited financial results. For ease of review, we have excluded the word "approximately" when rounding the results. This press release is for informational purposes only and is not an offer to purchase or a solicitation of an offer to sell shares of PhenixFIN Corporation’s common stock. There can be no assurance that PhenixFIN Corporation will achieve its investment objective.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PhenixFIN investor relations, please call 212-859-0390. For media inquiries, please contact info@phenixfc.com.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Assets and Liabilities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0"/>
        <w:gridCol w:w="60"/>
        <w:gridCol w:w="140"/>
        <w:gridCol w:w="1295"/>
        <w:gridCol w:w="95"/>
        <w:gridCol w:w="60"/>
        <w:gridCol w:w="143"/>
        <w:gridCol w:w="1331"/>
        <w:gridCol w:w="91"/>
      </w:tblGrid>
      <w:tr>
        <w:trPr/>
        <w:tc>
          <w:tcPr>
            <w:tcW w:w="6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91" w:type="dxa"/>
            <w:tcBorders/>
            <w:vAlign w:val="center"/>
          </w:tcPr>
          <w:p>
            <w:pPr>
              <w:pStyle w:val="TableContents"/>
              <w:bidi w:val="0"/>
              <w:spacing w:before="0" w:after="283"/>
              <w:jc w:val="left"/>
              <w:rPr/>
            </w:pPr>
            <w:r>
              <w:rPr/>
              <w:t> </w:t>
            </w:r>
          </w:p>
        </w:tc>
      </w:tr>
      <w:tr>
        <w:trPr/>
        <w:tc>
          <w:tcPr>
            <w:tcW w:w="699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r>
      <w:tr>
        <w:trPr/>
        <w:tc>
          <w:tcPr>
            <w:tcW w:w="6990" w:type="dxa"/>
            <w:tcBorders/>
            <w:vAlign w:val="center"/>
          </w:tcPr>
          <w:p>
            <w:pPr>
              <w:pStyle w:val="TableContents"/>
              <w:bidi w:val="0"/>
              <w:spacing w:before="0" w:after="283"/>
              <w:jc w:val="left"/>
              <w:rPr/>
            </w:pPr>
            <w:r>
              <w:rPr/>
              <w:t>Investments at fair value</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Non-controlled, non-affiliated investments (amortized cost of $133,498,823 and $139,342,491,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136,419,212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145,280,169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Affiliated investments (amortized cost of $38,802,355 and $35,390,223,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36,682,577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35,381,405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Controlled investments (amortized cost of $155,112,950 and $149,656,451,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128,535,521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121,610,914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Total Investments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301,637,310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302,272,488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2,178,083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7,289,371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Interest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1,421,515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1,203,404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Other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44,971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Dividends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42,950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2,389,994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2,746,775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Deferred tax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670,560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1,234,847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Deferred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1,185,184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1,384,767</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Due from Affiliate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258,310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572,331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Prepaid share repurchase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96,342</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Receivable for investments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21,549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309,886,953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pPr>
            <w:r>
              <w:rPr/>
              <w:t>316,909,795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Credit facility and notes payable (net of debt issuance costs of $781,263 and $1,141,393,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146,710,356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148,011,724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1,427,432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4,226,889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2,463,039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2,439,405</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Interest and fees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1,121,388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1,187,574</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137,538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Due to Affiliate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126,936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132,365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Administrator expenses payable (see Note 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97,386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152,024,046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156,135,495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Commitments and Contingencies (see 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Common Shares, $0.001 par value; 5,000,000 shares authorized; 2,723,709 shares issued; 1,932,473 and 2,003,769 common shares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2,004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701,284,360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704,640,648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pPr>
            <w:r>
              <w:rPr/>
              <w:t>Total distributable earnings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(543,423,385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(543,868,352</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6990" w:type="dxa"/>
            <w:tcBorders/>
            <w:shd w:fill="FFFFFF" w:val="clear"/>
            <w:vAlign w:val="center"/>
          </w:tcPr>
          <w:p>
            <w:pPr>
              <w:pStyle w:val="TableContents"/>
              <w:bidi w:val="0"/>
              <w:spacing w:before="0" w:after="283"/>
              <w:jc w:val="left"/>
              <w:rPr>
                <w:b/>
              </w:rPr>
            </w:pPr>
            <w:r>
              <w:rPr>
                <w:b/>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157,862,907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160,774,300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b/>
              </w:rPr>
            </w:pPr>
            <w:r>
              <w:rPr>
                <w:b/>
              </w:rPr>
              <w:t>Total Liabilities and Net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309,886,953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CCEEFF" w:val="clear"/>
            <w:tcMar>
              <w:bottom w:w="28" w:type="dxa"/>
            </w:tcMar>
            <w:vAlign w:val="center"/>
          </w:tcPr>
          <w:p>
            <w:pPr>
              <w:pStyle w:val="TableContents"/>
              <w:bidi w:val="0"/>
              <w:spacing w:before="0" w:after="283"/>
              <w:jc w:val="right"/>
              <w:rPr/>
            </w:pPr>
            <w:r>
              <w:rPr/>
              <w:t>316,909,795</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990" w:type="dxa"/>
            <w:tcBorders/>
            <w:shd w:fill="CCEEFF" w:val="clear"/>
            <w:vAlign w:val="center"/>
          </w:tcPr>
          <w:p>
            <w:pPr>
              <w:pStyle w:val="TableContents"/>
              <w:bidi w:val="0"/>
              <w:spacing w:before="0" w:after="283"/>
              <w:jc w:val="left"/>
              <w:rPr>
                <w:b/>
              </w:rPr>
            </w:pPr>
            <w:r>
              <w:rPr>
                <w:b/>
              </w:rPr>
              <w:t>Net Asset Value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80.24</w:t>
            </w:r>
          </w:p>
        </w:tc>
        <w:tc>
          <w:tcPr>
            <w:tcW w:w="9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2"/>
        <w:gridCol w:w="60"/>
        <w:gridCol w:w="140"/>
        <w:gridCol w:w="1055"/>
        <w:gridCol w:w="95"/>
        <w:gridCol w:w="60"/>
        <w:gridCol w:w="140"/>
        <w:gridCol w:w="1175"/>
        <w:gridCol w:w="95"/>
        <w:gridCol w:w="60"/>
        <w:gridCol w:w="140"/>
        <w:gridCol w:w="1100"/>
        <w:gridCol w:w="95"/>
        <w:gridCol w:w="60"/>
        <w:gridCol w:w="140"/>
        <w:gridCol w:w="1175"/>
        <w:gridCol w:w="93"/>
      </w:tblGrid>
      <w:tr>
        <w:trPr/>
        <w:tc>
          <w:tcPr>
            <w:tcW w:w="4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w:t>
              <w:br/>
              <w:t>Ended June 30,</w:t>
            </w:r>
          </w:p>
        </w:tc>
        <w:tc>
          <w:tcPr>
            <w:tcW w:w="93" w:type="dxa"/>
            <w:tcBorders/>
            <w:vAlign w:val="center"/>
          </w:tcPr>
          <w:p>
            <w:pPr>
              <w:pStyle w:val="TableContents"/>
              <w:bidi w:val="0"/>
              <w:spacing w:before="0" w:after="283"/>
              <w:jc w:val="left"/>
              <w:rPr/>
            </w:pPr>
            <w:r>
              <w:rPr/>
              <w:t> </w:t>
            </w:r>
          </w:p>
        </w:tc>
      </w:tr>
      <w:tr>
        <w:trPr/>
        <w:tc>
          <w:tcPr>
            <w:tcW w:w="4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jc w:val="left"/>
              <w:rPr/>
            </w:pPr>
            <w:r>
              <w:rPr/>
              <w:t> </w:t>
            </w:r>
          </w:p>
        </w:tc>
      </w:tr>
      <w:tr>
        <w:trPr/>
        <w:tc>
          <w:tcPr>
            <w:tcW w:w="4522" w:type="dxa"/>
            <w:tcBorders/>
            <w:vAlign w:val="center"/>
          </w:tcPr>
          <w:p>
            <w:pPr>
              <w:pStyle w:val="TableContents"/>
              <w:bidi w:val="0"/>
              <w:spacing w:before="0" w:after="283"/>
              <w:jc w:val="left"/>
              <w:rPr>
                <w:b/>
              </w:rPr>
            </w:pPr>
            <w:r>
              <w:rPr>
                <w:b/>
              </w:rPr>
              <w:t>Interest Income:</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r>
      <w:tr>
        <w:trPr/>
        <w:tc>
          <w:tcPr>
            <w:tcW w:w="4522" w:type="dxa"/>
            <w:tcBorders/>
            <w:vAlign w:val="center"/>
          </w:tcPr>
          <w:p>
            <w:pPr>
              <w:pStyle w:val="TableContents"/>
              <w:bidi w:val="0"/>
              <w:spacing w:before="0" w:after="283"/>
              <w:jc w:val="left"/>
              <w:rPr/>
            </w:pPr>
            <w:r>
              <w:rPr/>
              <w:t>Interest from investments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r>
      <w:tr>
        <w:trPr/>
        <w:tc>
          <w:tcPr>
            <w:tcW w:w="4522" w:type="dxa"/>
            <w:tcBorders/>
            <w:vAlign w:val="center"/>
          </w:tcPr>
          <w:p>
            <w:pPr>
              <w:pStyle w:val="TableContents"/>
              <w:bidi w:val="0"/>
              <w:spacing w:before="0" w:after="283"/>
              <w:jc w:val="left"/>
              <w:rPr/>
            </w:pPr>
            <w:r>
              <w:rPr/>
              <w:t>Non-controlled, non-affiliated investments: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2,437,421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3,758,928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7,237,718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9,708,993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Payment 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349,010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627,201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832,055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Affiliated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1,884,957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Payment 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314,673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764,594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Controlled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671,985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607,929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1,843,148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1,822,914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Total 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4,355,580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4,580,447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12,357,618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12,363,962</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Dividend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Non-controlled, non-affiliated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420,369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247,322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1,644,616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1,221,852</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Affiliated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254,231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Controlled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1,391,618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617,056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3,298,977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3,597,022</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Total dividend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1,811,987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864,378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5,073,105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Interest from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132,557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Fee income (see Note 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255,318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684,330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607,525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822,841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b/>
              </w:rPr>
            </w:pPr>
            <w:r>
              <w:rPr>
                <w:b/>
              </w:rPr>
              <w:t>Total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6,450,923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6,156,959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18,309,551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18,392,465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Interest and financing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2,319,759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2,660,472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7,060,672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7,785,246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Salaries and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1,078,675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1,237,767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3,064,684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3,451,438</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Professional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285,347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304,540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1,300,518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355,438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398,494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1,078,416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928,026</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Directors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525,928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612,000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Administrator expenses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106,740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303,924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Insurance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87,460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224,436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262,379</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4,375,654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4,999,473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13,360,162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14,643,531</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b/>
              </w:rPr>
            </w:pPr>
            <w:r>
              <w:rPr>
                <w:b/>
              </w:rPr>
              <w:t>Net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2,075,269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4,949,389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3,748,934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b/>
              </w:rPr>
            </w:pPr>
            <w:r>
              <w:rPr>
                <w:b/>
              </w:rPr>
              <w:t>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Net realized gains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Non-controlled, non-affiliated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411,093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(1,665,458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(1,561,801</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4522" w:type="dxa"/>
            <w:tcBorders/>
            <w:shd w:fill="FFFFFF" w:val="clear"/>
            <w:vAlign w:val="center"/>
          </w:tcPr>
          <w:p>
            <w:pPr>
              <w:pStyle w:val="TableContents"/>
              <w:bidi w:val="0"/>
              <w:spacing w:before="0" w:after="283"/>
              <w:jc w:val="left"/>
              <w:rPr/>
            </w:pPr>
            <w:r>
              <w:rPr/>
              <w:t>Affiliated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(10,320,353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(10,320,353</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522" w:type="dxa"/>
            <w:tcBorders/>
            <w:shd w:fill="CCEEFF" w:val="clear"/>
            <w:vAlign w:val="center"/>
          </w:tcPr>
          <w:p>
            <w:pPr>
              <w:pStyle w:val="TableContents"/>
              <w:bidi w:val="0"/>
              <w:spacing w:before="0" w:after="283"/>
              <w:jc w:val="left"/>
              <w:rPr/>
            </w:pPr>
            <w:r>
              <w:rPr/>
              <w:t>Controlled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b/>
              </w:rPr>
            </w:pPr>
            <w:r>
              <w:rPr>
                <w:b/>
              </w:rPr>
              <w:t>Total net realized gains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410,759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(11,985,811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(11,882,154</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522" w:type="dxa"/>
            <w:tcBorders/>
            <w:shd w:fill="CCEEFF" w:val="clear"/>
            <w:vAlign w:val="center"/>
          </w:tcPr>
          <w:p>
            <w:pPr>
              <w:pStyle w:val="TableContents"/>
              <w:bidi w:val="0"/>
              <w:spacing w:before="0" w:after="283"/>
              <w:jc w:val="left"/>
              <w:rPr/>
            </w:pPr>
            <w:r>
              <w:rPr/>
              <w:t>Net change in unrealized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Non-controlled, non-affiliated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1,124,905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(3,017,289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1,973,193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Affiliated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(1,067,771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(2,110,960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7,397,502</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Controlled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1,767,513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914,813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1,468,108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(892,789</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522" w:type="dxa"/>
            <w:tcBorders/>
            <w:shd w:fill="CCEEFF" w:val="clear"/>
            <w:vAlign w:val="center"/>
          </w:tcPr>
          <w:p>
            <w:pPr>
              <w:pStyle w:val="TableContents"/>
              <w:bidi w:val="0"/>
              <w:spacing w:before="0" w:after="283"/>
              <w:jc w:val="left"/>
              <w:rPr>
                <w:b/>
              </w:rPr>
            </w:pPr>
            <w:r>
              <w:rPr>
                <w:b/>
              </w:rPr>
              <w:t>Total net change in unrealized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9,275,351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(3,660,141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8,477,906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Deferred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(676,181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(274,125</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522" w:type="dxa"/>
            <w:tcBorders/>
            <w:shd w:fill="CCEEFF" w:val="clear"/>
            <w:vAlign w:val="center"/>
          </w:tcPr>
          <w:p>
            <w:pPr>
              <w:pStyle w:val="TableContents"/>
              <w:bidi w:val="0"/>
              <w:spacing w:before="0" w:after="283"/>
              <w:jc w:val="left"/>
              <w:rPr/>
            </w:pPr>
            <w:r>
              <w:rPr/>
              <w:t>Loss on Extinguishment of Debt (see Note 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b/>
              </w:rPr>
            </w:pPr>
            <w:r>
              <w:rPr>
                <w:b/>
              </w:rPr>
              <w:t>Total realized and unrealized gains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2,148,669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(2,654,949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(4,362,859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(3,678,373</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522" w:type="dxa"/>
            <w:tcBorders/>
            <w:shd w:fill="CCEEFF" w:val="clear"/>
            <w:vAlign w:val="center"/>
          </w:tcPr>
          <w:p>
            <w:pPr>
              <w:pStyle w:val="TableContents"/>
              <w:bidi w:val="0"/>
              <w:spacing w:before="0" w:after="283"/>
              <w:jc w:val="left"/>
              <w:rPr>
                <w:b/>
              </w:rPr>
            </w:pPr>
            <w:r>
              <w:rPr>
                <w:b/>
              </w:rPr>
              <w:t>Net Increase (Decrease)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4,223,938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(1,497,463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586,530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70,561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522" w:type="dxa"/>
            <w:tcBorders/>
            <w:shd w:fill="CCEEFF" w:val="clear"/>
            <w:vAlign w:val="center"/>
          </w:tcPr>
          <w:p>
            <w:pPr>
              <w:pStyle w:val="TableContents"/>
              <w:bidi w:val="0"/>
              <w:spacing w:before="0" w:after="283"/>
              <w:jc w:val="left"/>
              <w:rPr/>
            </w:pPr>
            <w:r>
              <w:rPr/>
              <w:t>Weighted average 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0.03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522" w:type="dxa"/>
            <w:tcBorders/>
            <w:shd w:fill="FFFFFF" w:val="clear"/>
            <w:vAlign w:val="center"/>
          </w:tcPr>
          <w:p>
            <w:pPr>
              <w:pStyle w:val="TableContents"/>
              <w:bidi w:val="0"/>
              <w:spacing w:before="0" w:after="283"/>
              <w:jc w:val="left"/>
              <w:rPr/>
            </w:pPr>
            <w:r>
              <w:rPr/>
              <w:t>Weighted average common shares outstanding - basic and diluted (see Note 11)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1,932,597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2,017,330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1,969,108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2,018,962</w:t>
            </w:r>
          </w:p>
        </w:tc>
        <w:tc>
          <w:tcPr>
            <w:tcW w:w="9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1717</Words>
  <Characters>10377</Characters>
  <CharactersWithSpaces>12614</CharactersWithSpaces>
  <Paragraphs>1394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