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7259-10q_phenixfin.htm"/>
      <w:bookmarkStart w:id="1" w:name="ksea028725910q_phenixfin"/>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1-35040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555"/>
        <w:gridCol w:w="90"/>
        <w:gridCol w:w="1595"/>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27-4576073</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5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870" w:type="dxa"/>
        <w:jc w:val="left"/>
        <w:tblInd w:w="0" w:type="dxa"/>
        <w:tblLayout w:type="fixed"/>
        <w:tblCellMar>
          <w:top w:w="0" w:type="dxa"/>
          <w:left w:w="0" w:type="dxa"/>
          <w:bottom w:w="28" w:type="dxa"/>
          <w:right w:w="0" w:type="dxa"/>
        </w:tblCellMar>
      </w:tblPr>
      <w:tblGrid>
        <w:gridCol w:w="3800"/>
        <w:gridCol w:w="90"/>
        <w:gridCol w:w="980"/>
      </w:tblGrid>
      <w:tr>
        <w:trPr/>
        <w:tc>
          <w:tcPr>
            <w:tcW w:w="38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445 Park Avenue, 10th Floor, New York, NY</w:t>
            </w:r>
          </w:p>
        </w:tc>
        <w:tc>
          <w:tcPr>
            <w:tcW w:w="90" w:type="dxa"/>
            <w:tcBorders/>
            <w:tcMar>
              <w:bottom w:w="0" w:type="dxa"/>
            </w:tcMar>
            <w:vAlign w:val="center"/>
          </w:tcPr>
          <w:p>
            <w:pPr>
              <w:pStyle w:val="TableContents"/>
              <w:bidi w:val="0"/>
              <w:spacing w:before="0" w:after="283"/>
              <w:jc w:val="center"/>
              <w:rPr/>
            </w:pPr>
            <w:r>
              <w:rPr/>
              <w:t> </w:t>
            </w:r>
          </w:p>
        </w:tc>
        <w:tc>
          <w:tcPr>
            <w:tcW w:w="9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10022</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859-0390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35" w:type="dxa"/>
        <w:jc w:val="left"/>
        <w:tblInd w:w="0" w:type="dxa"/>
        <w:tblLayout w:type="fixed"/>
        <w:tblCellMar>
          <w:top w:w="0" w:type="dxa"/>
          <w:left w:w="0" w:type="dxa"/>
          <w:bottom w:w="28" w:type="dxa"/>
          <w:right w:w="0" w:type="dxa"/>
        </w:tblCellMar>
      </w:tblPr>
      <w:tblGrid>
        <w:gridCol w:w="3545"/>
        <w:gridCol w:w="90"/>
        <w:gridCol w:w="1640"/>
        <w:gridCol w:w="90"/>
        <w:gridCol w:w="3770"/>
      </w:tblGrid>
      <w:tr>
        <w:trPr/>
        <w:tc>
          <w:tcPr>
            <w:tcW w:w="35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PFX</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r>
        <w:trPr/>
        <w:tc>
          <w:tcPr>
            <w:tcW w:w="35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5.25% Notes due 2028</w:t>
            </w:r>
          </w:p>
        </w:tc>
        <w:tc>
          <w:tcPr>
            <w:tcW w:w="90" w:type="dxa"/>
            <w:tcBorders/>
            <w:tcMar>
              <w:bottom w:w="0" w:type="dxa"/>
            </w:tcMar>
            <w:vAlign w:val="center"/>
          </w:tcPr>
          <w:p>
            <w:pPr>
              <w:pStyle w:val="TableContents"/>
              <w:bidi w:val="0"/>
              <w:spacing w:before="0" w:after="283"/>
              <w:jc w:val="center"/>
              <w:rPr/>
            </w:pPr>
            <w:r>
              <w:rPr/>
              <w:t> </w:t>
            </w:r>
          </w:p>
        </w:tc>
        <w:tc>
          <w:tcPr>
            <w:tcW w:w="16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PFXNZ</w:t>
            </w:r>
          </w:p>
        </w:tc>
        <w:tc>
          <w:tcPr>
            <w:tcW w:w="90" w:type="dxa"/>
            <w:tcBorders/>
            <w:tcMar>
              <w:bottom w:w="0" w:type="dxa"/>
            </w:tcMar>
            <w:vAlign w:val="center"/>
          </w:tcPr>
          <w:p>
            <w:pPr>
              <w:pStyle w:val="TableContents"/>
              <w:bidi w:val="0"/>
              <w:spacing w:before="0" w:after="283"/>
              <w:jc w:val="center"/>
              <w:rPr/>
            </w:pPr>
            <w:r>
              <w:rPr/>
              <w:t> </w:t>
            </w:r>
          </w:p>
        </w:tc>
        <w:tc>
          <w:tcPr>
            <w:tcW w:w="37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 Accelerated filer ☐ Non-accelerated filer ☒ Smaller reporting company ☐ 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Securities Exchange Act of 1934).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had 1,932,600 shares of common stock, $0.001 par value, outstanding as of May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10"/>
        <w:gridCol w:w="90"/>
        <w:gridCol w:w="505"/>
      </w:tblGrid>
      <w:tr>
        <w:trPr/>
        <w:tc>
          <w:tcPr>
            <w:tcW w:w="961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50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6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 I. Financial Information</w:t>
            </w:r>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 </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 Financial Statements</w:t>
            </w:r>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 </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Consolidated Statements of Assets and Liabilities as of March 31, 2026 (unaudited) and September 30, 2025</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Consolidated Statements of Operations for the three and six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Consolidated Statements of Changes in Net Assets for the three and six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Consolidated Statements of Cash Flows for the three and six months ended March 31, 2026 and 2025 (unaudited)</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Consolidated Schedules of Investments as of March 31, 2026 (unaudited) and September 30, 2025</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5</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Notes to Consolidated Financial Statements (unaudited)</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20</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 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43</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3. Quantitative and Qualitative Disclosures About Market Risk</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56</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4. Controls and Procedures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57</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sz w:val="20"/>
                </w:rPr>
                <w:t>Part II. Other Information</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58</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Item 1. Legal Proceedings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58</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1A. Risk Factors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58</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Item 2. Unregistered Sales of Equity Securities and Use of Proceeds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60</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3. Defaults Upon Senior Securities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60</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Item 4. Mine Safety Disclosures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60</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5. Other Information</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60</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Item 6. Exhibits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ind w:left="0" w:right="0" w:hanging="180"/>
              <w:jc w:val="center"/>
              <w:rPr/>
            </w:pPr>
            <w:r>
              <w:rPr/>
              <w:t>61</w:t>
            </w:r>
          </w:p>
        </w:tc>
      </w:tr>
      <w:tr>
        <w:trPr/>
        <w:tc>
          <w:tcPr>
            <w:tcW w:w="9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ind w:left="0" w:right="0" w:hanging="180"/>
              <w:jc w:val="center"/>
              <w:rPr/>
            </w:pPr>
            <w:r>
              <w:rPr/>
              <w:t> </w:t>
            </w:r>
          </w:p>
        </w:tc>
      </w:tr>
      <w:tr>
        <w:trPr/>
        <w:tc>
          <w:tcPr>
            <w:tcW w:w="961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sz w:val="20"/>
                </w:rPr>
                <w:t>SIGNATURES</w:t>
              </w:r>
            </w:hyperlink>
          </w:p>
        </w:tc>
        <w:tc>
          <w:tcPr>
            <w:tcW w:w="9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center"/>
              <w:rPr/>
            </w:pPr>
            <w:r>
              <w:rPr/>
              <w:t>63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Assets and Liabilities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35"/>
        <w:gridCol w:w="90"/>
        <w:gridCol w:w="170"/>
        <w:gridCol w:w="1325"/>
        <w:gridCol w:w="125"/>
        <w:gridCol w:w="90"/>
        <w:gridCol w:w="170"/>
        <w:gridCol w:w="1430"/>
        <w:gridCol w:w="170"/>
      </w:tblGrid>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b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September 30, </w:t>
              <w:br/>
              <w:t>2025</w:t>
            </w:r>
          </w:p>
        </w:tc>
        <w:tc>
          <w:tcPr>
            <w:tcW w:w="17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Investments at fair value</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200"/>
              <w:jc w:val="left"/>
              <w:rPr/>
            </w:pPr>
            <w:r>
              <w:rPr/>
              <w:t> </w:t>
            </w:r>
          </w:p>
        </w:tc>
      </w:tr>
      <w:tr>
        <w:trPr/>
        <w:tc>
          <w:tcPr>
            <w:tcW w:w="6635" w:type="dxa"/>
            <w:tcBorders/>
            <w:shd w:fill="CCEEFF" w:val="clear"/>
            <w:vAlign w:val="center"/>
          </w:tcPr>
          <w:p>
            <w:pPr>
              <w:pStyle w:val="TableContents"/>
              <w:bidi w:val="0"/>
              <w:spacing w:before="0" w:after="283"/>
              <w:jc w:val="left"/>
              <w:rPr/>
            </w:pPr>
            <w:r>
              <w:rPr/>
              <w:t>Non-controlled, non-affiliated investments (amortized cost of $128,237,811 and $139,342,491,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130,033,295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145,280,169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635" w:type="dxa"/>
            <w:tcBorders/>
            <w:vAlign w:val="center"/>
          </w:tcPr>
          <w:p>
            <w:pPr>
              <w:pStyle w:val="TableContents"/>
              <w:bidi w:val="0"/>
              <w:spacing w:before="0" w:after="283"/>
              <w:jc w:val="left"/>
              <w:rPr/>
            </w:pPr>
            <w:r>
              <w:rPr/>
              <w:t>Affiliated investments (amortized cost of $37,828,011 and $35,390,223,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36,776,004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35,381,405</w:t>
            </w:r>
          </w:p>
        </w:tc>
        <w:tc>
          <w:tcPr>
            <w:tcW w:w="170" w:type="dxa"/>
            <w:tcBorders/>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Controlled investments (amortized cost of $157,346,334 and $149,656,451,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129,001,392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121,610,914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Total Investments at fair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295,810,691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302,272,488</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3,074,794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7,289,371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Receivables: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Interest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1,303,922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1,203,404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Other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44,971</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Dividends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64,800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42,950</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2,537,376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2,746,775</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Deferred tax asset,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727,925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1,234,847</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Deferred financing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1,232,943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1,384,767</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Due from Affiliate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275,173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572,331</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Prepaid share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115,969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96,342</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Receivable for investments sold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431,184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21,549</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tcMar>
              <w:bottom w:w="28" w:type="dxa"/>
            </w:tcMar>
            <w:vAlign w:val="center"/>
          </w:tcPr>
          <w:p>
            <w:pPr>
              <w:pStyle w:val="TableContents"/>
              <w:bidi w:val="0"/>
              <w:spacing w:before="0" w:after="283"/>
              <w:jc w:val="right"/>
              <w:rPr/>
            </w:pPr>
            <w:r>
              <w:rPr/>
              <w:t>305,574,777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tcMar>
              <w:bottom w:w="28" w:type="dxa"/>
            </w:tcMar>
            <w:vAlign w:val="center"/>
          </w:tcPr>
          <w:p>
            <w:pPr>
              <w:pStyle w:val="TableContents"/>
              <w:bidi w:val="0"/>
              <w:spacing w:before="0" w:after="283"/>
              <w:jc w:val="right"/>
              <w:rPr/>
            </w:pPr>
            <w:r>
              <w:rPr/>
              <w:t>316,909,795</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b/>
              </w:rPr>
            </w:pPr>
            <w:r>
              <w:rPr>
                <w:b/>
              </w:rPr>
              <w:t>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635" w:type="dxa"/>
            <w:tcBorders/>
            <w:shd w:fill="CCEEFF" w:val="clear"/>
            <w:vAlign w:val="center"/>
          </w:tcPr>
          <w:p>
            <w:pPr>
              <w:pStyle w:val="TableContents"/>
              <w:bidi w:val="0"/>
              <w:spacing w:before="0" w:after="283"/>
              <w:jc w:val="left"/>
              <w:rPr/>
            </w:pPr>
            <w:r>
              <w:rPr/>
              <w:t>Credit facility and notes payable (net of debt issuance costs of $864,414 and $1,141,393,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146,627,205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148,011,724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1,329,714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4,226,889</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2,499,673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2,439,405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Interest and fees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1,131,408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1,187,574</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Taxes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48,137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137,538</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Due to Affiliate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126,936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132,365</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151,763,073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156,135,495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Commitments and Contingencies (see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b/>
              </w:rPr>
            </w:pPr>
            <w:r>
              <w:rPr>
                <w:b/>
              </w:rPr>
              <w:t>Net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 </w:t>
            </w:r>
            <w:r>
              <w:rPr/>
              <w:t>Common Shares, $0.001 par value; 5,000,000 shares authorized; 2,723,709 shares issued;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1,933,238 and 2,003,769 common shares outstanding,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1,933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2,004</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Capital in excess of par value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701,315,531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704,640,648</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pPr>
            <w:r>
              <w:rPr/>
              <w:t>Total distributable earnings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pPr>
            <w:r>
              <w:rPr/>
              <w:t>(547,505,760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(543,868,352</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6635" w:type="dxa"/>
            <w:tcBorders/>
            <w:vAlign w:val="center"/>
          </w:tcPr>
          <w:p>
            <w:pPr>
              <w:pStyle w:val="TableContents"/>
              <w:bidi w:val="0"/>
              <w:spacing w:before="0" w:after="283"/>
              <w:jc w:val="left"/>
              <w:rPr>
                <w:b/>
              </w:rPr>
            </w:pPr>
            <w:r>
              <w:rPr>
                <w:b/>
              </w:rPr>
              <w:t>Total Net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153,811,704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right"/>
              <w:rPr/>
            </w:pPr>
            <w:r>
              <w:rPr/>
              <w:t>160,774,300</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b/>
              </w:rPr>
            </w:pPr>
            <w:r>
              <w:rPr>
                <w:b/>
              </w:rPr>
              <w:t>Total Liabilities and Net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305,574,777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CCEEFF" w:val="clear"/>
            <w:tcMar>
              <w:bottom w:w="28" w:type="dxa"/>
            </w:tcMar>
            <w:vAlign w:val="center"/>
          </w:tcPr>
          <w:p>
            <w:pPr>
              <w:pStyle w:val="TableContents"/>
              <w:bidi w:val="0"/>
              <w:spacing w:before="0" w:after="283"/>
              <w:jc w:val="right"/>
              <w:rPr/>
            </w:pPr>
            <w:r>
              <w:rPr/>
              <w:t>316,909,795</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635" w:type="dxa"/>
            <w:tcBorders/>
            <w:shd w:fill="CCEEFF" w:val="clear"/>
            <w:vAlign w:val="center"/>
          </w:tcPr>
          <w:p>
            <w:pPr>
              <w:pStyle w:val="TableContents"/>
              <w:bidi w:val="0"/>
              <w:spacing w:before="0" w:after="283"/>
              <w:jc w:val="left"/>
              <w:rPr>
                <w:b/>
              </w:rPr>
            </w:pPr>
            <w:r>
              <w:rPr>
                <w:b/>
              </w:rPr>
              <w:t>Net Asset Value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79.56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80.24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tbl>
      <w:tblPr>
        <w:tblW w:w="10205" w:type="dxa"/>
        <w:jc w:val="left"/>
        <w:tblInd w:w="0" w:type="dxa"/>
        <w:tblLayout w:type="fixed"/>
        <w:tblCellMar>
          <w:top w:w="0" w:type="dxa"/>
          <w:left w:w="0" w:type="dxa"/>
          <w:bottom w:w="0" w:type="dxa"/>
          <w:right w:w="0" w:type="dxa"/>
        </w:tblCellMar>
      </w:tblPr>
      <w:tblGrid>
        <w:gridCol w:w="4056"/>
        <w:gridCol w:w="90"/>
        <w:gridCol w:w="178"/>
        <w:gridCol w:w="1138"/>
        <w:gridCol w:w="130"/>
        <w:gridCol w:w="94"/>
        <w:gridCol w:w="178"/>
        <w:gridCol w:w="1138"/>
        <w:gridCol w:w="125"/>
        <w:gridCol w:w="90"/>
        <w:gridCol w:w="170"/>
        <w:gridCol w:w="1130"/>
        <w:gridCol w:w="125"/>
        <w:gridCol w:w="90"/>
        <w:gridCol w:w="170"/>
        <w:gridCol w:w="1130"/>
        <w:gridCol w:w="173"/>
      </w:tblGrid>
      <w:tr>
        <w:trPr/>
        <w:tc>
          <w:tcPr>
            <w:tcW w:w="4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73" w:type="dxa"/>
            <w:tcBorders/>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3" w:type="dxa"/>
            <w:tcBorders/>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b/>
              </w:rPr>
            </w:pPr>
            <w:r>
              <w:rPr>
                <w:b/>
              </w:rPr>
              <w:t>Interest Income:</w:t>
            </w:r>
          </w:p>
        </w:tc>
        <w:tc>
          <w:tcPr>
            <w:tcW w:w="9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Interest from investments</w:t>
            </w:r>
          </w:p>
        </w:tc>
        <w:tc>
          <w:tcPr>
            <w:tcW w:w="9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Non-controlled, non-affiliated investments:</w:t>
            </w:r>
          </w:p>
        </w:tc>
        <w:tc>
          <w:tcPr>
            <w:tcW w:w="9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2,242,062</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2,957,380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4,800,297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5,950,065</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Payment in-kind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250,799</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263,784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278,191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618,465</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Affiliated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Cash</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670,874</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1,302,466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Payment in-kind</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242,930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449,921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Controlled investments: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Cash</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725,479</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626,790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1,171,163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1,214,985</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Payment in-kind</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0"/>
              <w:jc w:val="right"/>
              <w:rPr/>
            </w:pPr>
            <w:r>
              <w:rPr/>
              <w:t>-</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Total interest income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4,132,144</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3,847,954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8,002,038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7,783,515</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Dividend income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Non-controlled, non-affiliated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428,380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378,232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1,224,247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974,530</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Affiliated investments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268,540</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111,736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268,540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254,231</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Controlled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156,084</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1,580,616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1,907,359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2,979,966</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Total dividend income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853,004</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2,070,584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3,400,146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4,208,727</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Interest from cash and cash equivalents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48,871</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45,812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104,237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104,753</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Fee income (see Note 9)</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164,374</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29,673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352,207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40,737</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25,000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97,774</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b/>
              </w:rPr>
            </w:pPr>
            <w:r>
              <w:rPr>
                <w:b/>
              </w:rPr>
              <w:t>Total Investment Income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5,198,393</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6,019,023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11,858,628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12,235,506</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b/>
              </w:rPr>
            </w:pPr>
            <w:r>
              <w:rPr>
                <w:b/>
              </w:rPr>
              <w:t>Expenses: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Interest and financing expenses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2,308,578</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2,578,963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4,740,913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5,124,774</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Salaries and benefits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1,016,836</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1,185,054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1,986,009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2,213,671</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Professional fees, net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410,332</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577,965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800,272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995,978</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362,493</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307,739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722,978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529,532</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Directors fees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169,428</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204,000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373,428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408,000</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Administrator expenses (see Note 6)</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109,223</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112,829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211,284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197,184</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Insurance expenses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73,990</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283"/>
              <w:jc w:val="right"/>
              <w:rPr/>
            </w:pPr>
            <w:r>
              <w:rPr/>
              <w:t>86,498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149,624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174,919</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Total expenses</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4,450,880</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5,053,048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8,984,508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9,644,058</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b/>
              </w:rPr>
            </w:pPr>
            <w:r>
              <w:rPr>
                <w:b/>
              </w:rPr>
              <w:t>Net Investment Income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747,513</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965,975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2,874,120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2,591,448</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b/>
              </w:rPr>
            </w:pPr>
            <w:r>
              <w:rPr>
                <w:b/>
              </w:rPr>
              <w:t>Realized and unrealized gains (losses) on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Net realized gains (losses):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Non-controlled, non-affiliated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(1,120,698</w:t>
            </w:r>
          </w:p>
        </w:tc>
        <w:tc>
          <w:tcPr>
            <w:tcW w:w="13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(1,065,013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(428,478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103,657</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Affiliated investments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2,112</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Controlled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b/>
              </w:rPr>
            </w:pPr>
            <w:r>
              <w:rPr>
                <w:b/>
              </w:rPr>
              <w:t>Total net realized gains (losses)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(1,118,586</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(1,065,013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(424,982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103,657</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Net change in unrealized gains (losses):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pPr>
            <w:r>
              <w:rPr/>
              <w:t>Non-controlled, non-affiliated investments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587,985</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1,183,172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(4,142,194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1,991,710</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Affiliated investments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(704,662</w:t>
            </w:r>
          </w:p>
        </w:tc>
        <w:tc>
          <w:tcPr>
            <w:tcW w:w="13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(92,367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(1,043,189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(981,553</w:t>
            </w:r>
          </w:p>
        </w:tc>
        <w:tc>
          <w:tcPr>
            <w:tcW w:w="173" w:type="dxa"/>
            <w:tcBorders/>
            <w:shd w:fill="CCEEFF" w:val="clear"/>
            <w:vAlign w:val="center"/>
          </w:tcPr>
          <w:p>
            <w:pPr>
              <w:pStyle w:val="TableContents"/>
              <w:bidi w:val="0"/>
              <w:spacing w:before="0" w:after="283"/>
              <w:jc w:val="left"/>
              <w:rPr/>
            </w:pPr>
            <w:r>
              <w:rPr/>
              <w:t>)</w:t>
            </w:r>
          </w:p>
        </w:tc>
      </w:tr>
      <w:tr>
        <w:trPr/>
        <w:tc>
          <w:tcPr>
            <w:tcW w:w="4056" w:type="dxa"/>
            <w:tcBorders/>
            <w:vAlign w:val="center"/>
          </w:tcPr>
          <w:p>
            <w:pPr>
              <w:pStyle w:val="TableContents"/>
              <w:bidi w:val="0"/>
              <w:spacing w:before="0" w:after="283"/>
              <w:jc w:val="left"/>
              <w:rPr/>
            </w:pPr>
            <w:r>
              <w:rPr/>
              <w:t>Controlled investments</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1,786,533</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(1,558,264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(299,405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(1,807,602</w:t>
            </w:r>
          </w:p>
        </w:tc>
        <w:tc>
          <w:tcPr>
            <w:tcW w:w="173" w:type="dxa"/>
            <w:tcBorders/>
            <w:vAlign w:val="center"/>
          </w:tcPr>
          <w:p>
            <w:pPr>
              <w:pStyle w:val="TableContents"/>
              <w:bidi w:val="0"/>
              <w:spacing w:before="0" w:after="283"/>
              <w:jc w:val="left"/>
              <w:rPr/>
            </w:pPr>
            <w:r>
              <w:rPr/>
              <w:t>)</w:t>
            </w:r>
          </w:p>
        </w:tc>
      </w:tr>
      <w:tr>
        <w:trPr/>
        <w:tc>
          <w:tcPr>
            <w:tcW w:w="4056" w:type="dxa"/>
            <w:tcBorders/>
            <w:shd w:fill="CCEEFF" w:val="clear"/>
            <w:vAlign w:val="center"/>
          </w:tcPr>
          <w:p>
            <w:pPr>
              <w:pStyle w:val="TableContents"/>
              <w:bidi w:val="0"/>
              <w:spacing w:before="0" w:after="283"/>
              <w:jc w:val="left"/>
              <w:rPr>
                <w:b/>
              </w:rPr>
            </w:pPr>
            <w:r>
              <w:rPr>
                <w:b/>
              </w:rPr>
              <w:t>Total net change in unrealized gains (losses)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1,669,856</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(467,459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(5,484,788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(797,445</w:t>
            </w:r>
          </w:p>
        </w:tc>
        <w:tc>
          <w:tcPr>
            <w:tcW w:w="173" w:type="dxa"/>
            <w:tcBorders/>
            <w:shd w:fill="CCEEFF" w:val="clear"/>
            <w:vAlign w:val="center"/>
          </w:tcPr>
          <w:p>
            <w:pPr>
              <w:pStyle w:val="TableContents"/>
              <w:bidi w:val="0"/>
              <w:spacing w:before="0" w:after="283"/>
              <w:jc w:val="left"/>
              <w:rPr/>
            </w:pPr>
            <w:r>
              <w:rPr/>
              <w:t>)</w:t>
            </w:r>
          </w:p>
        </w:tc>
      </w:tr>
      <w:tr>
        <w:trPr/>
        <w:tc>
          <w:tcPr>
            <w:tcW w:w="4056"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(166,015</w:t>
            </w:r>
          </w:p>
        </w:tc>
        <w:tc>
          <w:tcPr>
            <w:tcW w:w="130" w:type="dxa"/>
            <w:tcBorders/>
            <w:vAlign w:val="center"/>
          </w:tcPr>
          <w:p>
            <w:pPr>
              <w:pStyle w:val="TableContents"/>
              <w:bidi w:val="0"/>
              <w:spacing w:before="0" w:after="283"/>
              <w:jc w:val="left"/>
              <w:rPr/>
            </w:pPr>
            <w:r>
              <w:rPr/>
              <w:t>)</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(329,636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(589,444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(329,636</w:t>
            </w:r>
          </w:p>
        </w:tc>
        <w:tc>
          <w:tcPr>
            <w:tcW w:w="173" w:type="dxa"/>
            <w:tcBorders/>
            <w:vAlign w:val="center"/>
          </w:tcPr>
          <w:p>
            <w:pPr>
              <w:pStyle w:val="TableContents"/>
              <w:bidi w:val="0"/>
              <w:spacing w:before="0" w:after="283"/>
              <w:jc w:val="left"/>
              <w:rPr/>
            </w:pPr>
            <w:r>
              <w:rPr/>
              <w:t>)</w:t>
            </w:r>
          </w:p>
        </w:tc>
      </w:tr>
      <w:tr>
        <w:trPr/>
        <w:tc>
          <w:tcPr>
            <w:tcW w:w="4056" w:type="dxa"/>
            <w:tcBorders/>
            <w:shd w:fill="CCEEFF" w:val="clear"/>
            <w:vAlign w:val="center"/>
          </w:tcPr>
          <w:p>
            <w:pPr>
              <w:pStyle w:val="TableContents"/>
              <w:bidi w:val="0"/>
              <w:spacing w:before="0" w:after="283"/>
              <w:jc w:val="left"/>
              <w:rPr/>
            </w:pPr>
            <w:r>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(12,314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4056" w:type="dxa"/>
            <w:tcBorders/>
            <w:vAlign w:val="center"/>
          </w:tcPr>
          <w:p>
            <w:pPr>
              <w:pStyle w:val="TableContents"/>
              <w:bidi w:val="0"/>
              <w:spacing w:before="0" w:after="283"/>
              <w:jc w:val="left"/>
              <w:rPr>
                <w:b/>
              </w:rPr>
            </w:pPr>
            <w:r>
              <w:rPr>
                <w:b/>
              </w:rPr>
              <w:t>Total realized and unrealized gains (losses)</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385,255</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8" w:type="dxa"/>
            <w:tcBorders>
              <w:bottom w:val="single" w:sz="12" w:space="0" w:color="000000"/>
            </w:tcBorders>
            <w:tcMar>
              <w:bottom w:w="28" w:type="dxa"/>
            </w:tcMar>
            <w:vAlign w:val="center"/>
          </w:tcPr>
          <w:p>
            <w:pPr>
              <w:pStyle w:val="TableContents"/>
              <w:bidi w:val="0"/>
              <w:spacing w:before="0" w:after="283"/>
              <w:jc w:val="right"/>
              <w:rPr/>
            </w:pPr>
            <w:r>
              <w:rPr/>
              <w:t>(1,862,108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(6,511,528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(1,023,424</w:t>
            </w:r>
          </w:p>
        </w:tc>
        <w:tc>
          <w:tcPr>
            <w:tcW w:w="173" w:type="dxa"/>
            <w:tcBorders/>
            <w:vAlign w:val="center"/>
          </w:tcPr>
          <w:p>
            <w:pPr>
              <w:pStyle w:val="TableContents"/>
              <w:bidi w:val="0"/>
              <w:spacing w:before="0" w:after="283"/>
              <w:jc w:val="left"/>
              <w:rPr/>
            </w:pPr>
            <w:r>
              <w:rPr/>
              <w:t>)</w:t>
            </w:r>
          </w:p>
        </w:tc>
      </w:tr>
      <w:tr>
        <w:trPr/>
        <w:tc>
          <w:tcPr>
            <w:tcW w:w="4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4056" w:type="dxa"/>
            <w:tcBorders/>
            <w:vAlign w:val="center"/>
          </w:tcPr>
          <w:p>
            <w:pPr>
              <w:pStyle w:val="TableContents"/>
              <w:bidi w:val="0"/>
              <w:spacing w:before="0" w:after="283"/>
              <w:jc w:val="left"/>
              <w:rPr>
                <w:b/>
              </w:rPr>
            </w:pPr>
            <w:r>
              <w:rPr>
                <w:b/>
              </w:rPr>
              <w:t>Net Increase (Decrease) in Net Assets Resulting from Operations</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tcMar>
              <w:bottom w:w="28" w:type="dxa"/>
            </w:tcMar>
            <w:vAlign w:val="center"/>
          </w:tcPr>
          <w:p>
            <w:pPr>
              <w:pStyle w:val="TableContents"/>
              <w:bidi w:val="0"/>
              <w:spacing w:before="0" w:after="283"/>
              <w:jc w:val="right"/>
              <w:rPr/>
            </w:pPr>
            <w:r>
              <w:rPr/>
              <w:t>1,132,768</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1138" w:type="dxa"/>
            <w:tcBorders>
              <w:bottom w:val="double" w:sz="10" w:space="0" w:color="000000"/>
            </w:tcBorders>
            <w:tcMar>
              <w:bottom w:w="28" w:type="dxa"/>
            </w:tcMar>
            <w:vAlign w:val="center"/>
          </w:tcPr>
          <w:p>
            <w:pPr>
              <w:pStyle w:val="TableContents"/>
              <w:bidi w:val="0"/>
              <w:spacing w:before="0" w:after="283"/>
              <w:jc w:val="right"/>
              <w:rPr/>
            </w:pPr>
            <w:r>
              <w:rPr/>
              <w:t>(896,133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(3,637,408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1,568,024</w:t>
            </w:r>
          </w:p>
        </w:tc>
        <w:tc>
          <w:tcPr>
            <w:tcW w:w="173" w:type="dxa"/>
            <w:tcBorders/>
            <w:vAlign w:val="center"/>
          </w:tcPr>
          <w:p>
            <w:pPr>
              <w:pStyle w:val="TableContents"/>
              <w:bidi w:val="0"/>
              <w:spacing w:before="0" w:after="283"/>
              <w:jc w:val="left"/>
              <w:rPr/>
            </w:pPr>
            <w:r>
              <w:rPr/>
              <w:t> </w:t>
            </w:r>
          </w:p>
        </w:tc>
      </w:tr>
      <w:tr>
        <w:trPr/>
        <w:tc>
          <w:tcPr>
            <w:tcW w:w="4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4056" w:type="dxa"/>
            <w:tcBorders/>
            <w:vAlign w:val="center"/>
          </w:tcPr>
          <w:p>
            <w:pPr>
              <w:pStyle w:val="TableContents"/>
              <w:bidi w:val="0"/>
              <w:spacing w:before="0" w:after="283"/>
              <w:jc w:val="left"/>
              <w:rPr/>
            </w:pPr>
            <w:r>
              <w:rPr/>
              <w:t>Weighted average basic and diluted earnings per common share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0.57</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1138" w:type="dxa"/>
            <w:tcBorders/>
            <w:vAlign w:val="center"/>
          </w:tcPr>
          <w:p>
            <w:pPr>
              <w:pStyle w:val="TableContents"/>
              <w:bidi w:val="0"/>
              <w:spacing w:before="0" w:after="283"/>
              <w:jc w:val="right"/>
              <w:rPr/>
            </w:pPr>
            <w:r>
              <w:rPr/>
              <w:t>(0.44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0.78</w:t>
            </w:r>
          </w:p>
        </w:tc>
        <w:tc>
          <w:tcPr>
            <w:tcW w:w="173" w:type="dxa"/>
            <w:tcBorders/>
            <w:vAlign w:val="center"/>
          </w:tcPr>
          <w:p>
            <w:pPr>
              <w:pStyle w:val="TableContents"/>
              <w:bidi w:val="0"/>
              <w:spacing w:before="0" w:after="283"/>
              <w:ind w:left="0" w:right="0" w:hanging="180"/>
              <w:jc w:val="left"/>
              <w:rPr/>
            </w:pPr>
            <w:r>
              <w:rPr/>
              <w:t> </w:t>
            </w:r>
          </w:p>
        </w:tc>
      </w:tr>
      <w:tr>
        <w:trPr/>
        <w:tc>
          <w:tcPr>
            <w:tcW w:w="4056" w:type="dxa"/>
            <w:tcBorders/>
            <w:shd w:fill="CCEEFF" w:val="clear"/>
            <w:vAlign w:val="center"/>
          </w:tcPr>
          <w:p>
            <w:pPr>
              <w:pStyle w:val="TableContents"/>
              <w:bidi w:val="0"/>
              <w:spacing w:before="0" w:after="283"/>
              <w:jc w:val="left"/>
              <w:rPr/>
            </w:pPr>
            <w:r>
              <w:rPr/>
              <w:t>Weighted average common shares outstanding - basic and diluted (see Note 11)</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1,972,943</w:t>
            </w:r>
          </w:p>
        </w:tc>
        <w:tc>
          <w:tcPr>
            <w:tcW w:w="13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2,019,778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1,987,363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right"/>
              <w:rPr/>
            </w:pPr>
            <w:r>
              <w:rPr/>
              <w:t>2,019,778</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Net Assets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5"/>
        <w:gridCol w:w="90"/>
        <w:gridCol w:w="90"/>
        <w:gridCol w:w="1010"/>
        <w:gridCol w:w="125"/>
        <w:gridCol w:w="90"/>
        <w:gridCol w:w="214"/>
        <w:gridCol w:w="744"/>
        <w:gridCol w:w="125"/>
        <w:gridCol w:w="90"/>
        <w:gridCol w:w="170"/>
        <w:gridCol w:w="1250"/>
        <w:gridCol w:w="125"/>
        <w:gridCol w:w="90"/>
        <w:gridCol w:w="172"/>
        <w:gridCol w:w="1347"/>
        <w:gridCol w:w="125"/>
        <w:gridCol w:w="90"/>
        <w:gridCol w:w="170"/>
        <w:gridCol w:w="1250"/>
        <w:gridCol w:w="173"/>
      </w:tblGrid>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0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pPr>
            <w:r>
              <w:rPr/>
              <w:t> </w:t>
            </w:r>
          </w:p>
        </w:tc>
        <w:tc>
          <w:tcPr>
            <w:tcW w:w="173" w:type="dxa"/>
            <w:tcBorders/>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Par 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 in</w:t>
              <w:br/>
              <w:t>Excess of</w:t>
              <w:br/>
              <w:t>Par Value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Distributable</w:t>
              <w:br/>
              <w:t>Earnings/(Loss)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Net</w:t>
              <w:br/>
              <w:t>Assets</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2,019,778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2,020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704,909,588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(542,139,678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162,771,930</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pPr>
            <w:r>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965,975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965,975</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(1,065,013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(1,065,013</w:t>
            </w:r>
          </w:p>
        </w:tc>
        <w:tc>
          <w:tcPr>
            <w:tcW w:w="173" w:type="dxa"/>
            <w:tcBorders/>
            <w:vAlign w:val="center"/>
          </w:tcPr>
          <w:p>
            <w:pPr>
              <w:pStyle w:val="TableContents"/>
              <w:bidi w:val="0"/>
              <w:spacing w:before="0" w:after="283"/>
              <w:ind w:left="0" w:right="0" w:hanging="180"/>
              <w:jc w:val="left"/>
              <w:rPr/>
            </w:pPr>
            <w:r>
              <w:rPr/>
              <w:t>)</w:t>
            </w:r>
          </w:p>
        </w:tc>
      </w:tr>
      <w:tr>
        <w:trPr/>
        <w:tc>
          <w:tcPr>
            <w:tcW w:w="2665" w:type="dxa"/>
            <w:tcBorders/>
            <w:shd w:fill="CCEEFF" w:val="clear"/>
            <w:vAlign w:val="center"/>
          </w:tcPr>
          <w:p>
            <w:pPr>
              <w:pStyle w:val="TableContents"/>
              <w:bidi w:val="0"/>
              <w:spacing w:before="0" w:after="283"/>
              <w:jc w:val="left"/>
              <w:rPr/>
            </w:pPr>
            <w:r>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(467,459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(467,459</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(329,636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(329,636</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pPr>
            <w:r>
              <w:rPr/>
              <w:t>CAPITAL SHARE TRANSACTIONS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Distributions declared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pPr>
            <w:r>
              <w:rPr/>
              <w:t>(2,888,283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(2,888,283</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b/>
              </w:rPr>
            </w:pPr>
            <w:r>
              <w:rPr>
                <w:b/>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(3,784,416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(3,784,416</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2,019,778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704,909,588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(545,924,094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158,987,514</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1,999,634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704,457,776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(548,638,528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155,821,248</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pPr>
            <w:r>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747,513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747,513</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(1,118,586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(1,118,586</w:t>
            </w:r>
          </w:p>
        </w:tc>
        <w:tc>
          <w:tcPr>
            <w:tcW w:w="173" w:type="dxa"/>
            <w:tcBorders/>
            <w:vAlign w:val="center"/>
          </w:tcPr>
          <w:p>
            <w:pPr>
              <w:pStyle w:val="TableContents"/>
              <w:bidi w:val="0"/>
              <w:spacing w:before="0" w:after="283"/>
              <w:ind w:left="0" w:right="0" w:hanging="180"/>
              <w:jc w:val="left"/>
              <w:rPr/>
            </w:pPr>
            <w:r>
              <w:rPr/>
              <w:t>)</w:t>
            </w:r>
          </w:p>
        </w:tc>
      </w:tr>
      <w:tr>
        <w:trPr/>
        <w:tc>
          <w:tcPr>
            <w:tcW w:w="2665" w:type="dxa"/>
            <w:tcBorders/>
            <w:shd w:fill="CCEEFF" w:val="clear"/>
            <w:vAlign w:val="center"/>
          </w:tcPr>
          <w:p>
            <w:pPr>
              <w:pStyle w:val="TableContents"/>
              <w:bidi w:val="0"/>
              <w:spacing w:before="0" w:after="283"/>
              <w:jc w:val="left"/>
              <w:rPr/>
            </w:pPr>
            <w:r>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1,669,856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1,669,856</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(166,015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(166,015</w:t>
            </w:r>
          </w:p>
        </w:tc>
        <w:tc>
          <w:tcPr>
            <w:tcW w:w="173" w:type="dxa"/>
            <w:tcBorders/>
            <w:vAlign w:val="center"/>
          </w:tcPr>
          <w:p>
            <w:pPr>
              <w:pStyle w:val="TableContents"/>
              <w:bidi w:val="0"/>
              <w:spacing w:before="0" w:after="283"/>
              <w:ind w:left="0" w:right="0" w:hanging="180"/>
              <w:jc w:val="left"/>
              <w:rPr/>
            </w:pPr>
            <w:r>
              <w:rPr/>
              <w:t>)</w:t>
            </w:r>
          </w:p>
        </w:tc>
      </w:tr>
      <w:tr>
        <w:trPr/>
        <w:tc>
          <w:tcPr>
            <w:tcW w:w="2665" w:type="dxa"/>
            <w:tcBorders/>
            <w:shd w:fill="CCEEFF" w:val="clear"/>
            <w:vAlign w:val="center"/>
          </w:tcPr>
          <w:p>
            <w:pPr>
              <w:pStyle w:val="TableContents"/>
              <w:bidi w:val="0"/>
              <w:spacing w:before="0" w:after="283"/>
              <w:jc w:val="left"/>
              <w:rPr/>
            </w:pPr>
            <w:r>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CAPITAL SHARE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pPr>
            <w:r>
              <w:rPr/>
              <w:t>Distributions declared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Repurchase of common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(66,396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(3,142,245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(3,142,312</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b/>
              </w:rPr>
            </w:pPr>
            <w:r>
              <w:rPr>
                <w:b/>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(66,396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(3,142,245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1,132,768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(2,009,544</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1,933,238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1,933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701,315,531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(547,505,760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153,811,704</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September 30,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2,019,778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2,020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704,909,588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(544,603,835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160,307,773</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pPr>
            <w:r>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2,591,448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2,591,448</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103,657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103,657</w:t>
            </w:r>
          </w:p>
        </w:tc>
        <w:tc>
          <w:tcPr>
            <w:tcW w:w="173" w:type="dxa"/>
            <w:tcBorders/>
            <w:vAlign w:val="center"/>
          </w:tcPr>
          <w:p>
            <w:pPr>
              <w:pStyle w:val="TableContents"/>
              <w:bidi w:val="0"/>
              <w:spacing w:before="0" w:after="283"/>
              <w:ind w:left="0" w:right="0" w:hanging="180"/>
              <w:jc w:val="left"/>
              <w:rPr/>
            </w:pPr>
            <w:r>
              <w:rPr/>
              <w:t> </w:t>
            </w:r>
          </w:p>
        </w:tc>
      </w:tr>
      <w:tr>
        <w:trPr/>
        <w:tc>
          <w:tcPr>
            <w:tcW w:w="2665" w:type="dxa"/>
            <w:tcBorders/>
            <w:shd w:fill="CCEEFF" w:val="clear"/>
            <w:vAlign w:val="center"/>
          </w:tcPr>
          <w:p>
            <w:pPr>
              <w:pStyle w:val="TableContents"/>
              <w:bidi w:val="0"/>
              <w:spacing w:before="0" w:after="283"/>
              <w:jc w:val="left"/>
              <w:rPr/>
            </w:pPr>
            <w:r>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(797,445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(797,445</w:t>
            </w:r>
          </w:p>
        </w:tc>
        <w:tc>
          <w:tcPr>
            <w:tcW w:w="173" w:type="dxa"/>
            <w:tcBorders/>
            <w:shd w:fill="CCEEFF" w:val="clear"/>
            <w:vAlign w:val="center"/>
          </w:tcPr>
          <w:p>
            <w:pPr>
              <w:pStyle w:val="TableContents"/>
              <w:bidi w:val="0"/>
              <w:spacing w:before="0" w:after="283"/>
              <w:ind w:left="0" w:right="0" w:hanging="180"/>
              <w:jc w:val="left"/>
              <w:rPr/>
            </w:pPr>
            <w:r>
              <w:rPr/>
              <w:t>)</w:t>
            </w:r>
          </w:p>
        </w:tc>
      </w:tr>
      <w:tr>
        <w:trPr/>
        <w:tc>
          <w:tcPr>
            <w:tcW w:w="2665"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(329,636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(329,636</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pPr>
            <w:r>
              <w:rPr/>
              <w:t>CAPITAL SHARE TRANSACTIONS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Distributions declared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283"/>
              <w:jc w:val="right"/>
              <w:rPr/>
            </w:pPr>
            <w:r>
              <w:rPr/>
              <w:t>(2,888,283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(2,888,283</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b/>
              </w:rPr>
            </w:pPr>
            <w:r>
              <w:rPr>
                <w:b/>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(1,320,259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(1,320,259</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2,019,778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2,020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704,909,588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(545,924,094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158,987,514</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September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2,003,769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2,004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704,640,648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47" w:type="dxa"/>
            <w:tcBorders/>
            <w:shd w:fill="CCEEFF" w:val="clear"/>
            <w:vAlign w:val="center"/>
          </w:tcPr>
          <w:p>
            <w:pPr>
              <w:pStyle w:val="TableContents"/>
              <w:bidi w:val="0"/>
              <w:spacing w:before="0" w:after="283"/>
              <w:jc w:val="right"/>
              <w:rPr/>
            </w:pPr>
            <w:r>
              <w:rPr/>
              <w:t>(543,868,352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160,774,300</w:t>
            </w:r>
          </w:p>
        </w:tc>
        <w:tc>
          <w:tcPr>
            <w:tcW w:w="173" w:type="dxa"/>
            <w:tcBorders/>
            <w:shd w:fill="CCEEFF" w:val="clear"/>
            <w:vAlign w:val="center"/>
          </w:tcPr>
          <w:p>
            <w:pPr>
              <w:pStyle w:val="TableContents"/>
              <w:bidi w:val="0"/>
              <w:spacing w:before="0" w:after="283"/>
              <w:jc w:val="left"/>
              <w:rPr/>
            </w:pPr>
            <w:r>
              <w:rPr/>
              <w:t> </w:t>
            </w:r>
          </w:p>
        </w:tc>
      </w:tr>
      <w:tr>
        <w:trPr/>
        <w:tc>
          <w:tcPr>
            <w:tcW w:w="2665" w:type="dxa"/>
            <w:tcBorders/>
            <w:vAlign w:val="center"/>
          </w:tcPr>
          <w:p>
            <w:pPr>
              <w:pStyle w:val="TableContents"/>
              <w:bidi w:val="0"/>
              <w:spacing w:before="0" w:after="283"/>
              <w:jc w:val="left"/>
              <w:rPr/>
            </w:pPr>
            <w:r>
              <w:rPr/>
              <w:t>OPERATIONS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pPr>
            <w:r>
              <w:rPr/>
              <w:t>Net investment income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2,874,120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2,874,120</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(424,982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(424,982</w:t>
            </w:r>
          </w:p>
        </w:tc>
        <w:tc>
          <w:tcPr>
            <w:tcW w:w="173" w:type="dxa"/>
            <w:tcBorders/>
            <w:vAlign w:val="center"/>
          </w:tcPr>
          <w:p>
            <w:pPr>
              <w:pStyle w:val="TableContents"/>
              <w:bidi w:val="0"/>
              <w:spacing w:before="0" w:after="283"/>
              <w:ind w:left="0" w:right="0" w:hanging="180"/>
              <w:jc w:val="left"/>
              <w:rPr/>
            </w:pPr>
            <w:r>
              <w:rPr/>
              <w:t>)</w:t>
            </w:r>
          </w:p>
        </w:tc>
      </w:tr>
      <w:tr>
        <w:trPr/>
        <w:tc>
          <w:tcPr>
            <w:tcW w:w="2665" w:type="dxa"/>
            <w:tcBorders/>
            <w:shd w:fill="CCEEFF" w:val="clear"/>
            <w:vAlign w:val="center"/>
          </w:tcPr>
          <w:p>
            <w:pPr>
              <w:pStyle w:val="TableContents"/>
              <w:bidi w:val="0"/>
              <w:spacing w:before="0" w:after="283"/>
              <w:jc w:val="left"/>
              <w:rPr/>
            </w:pPr>
            <w:r>
              <w:rPr/>
              <w:t>Net change in unrealized appreciation (depreciation) on investments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(5,484,788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(5,484,788</w:t>
            </w:r>
          </w:p>
        </w:tc>
        <w:tc>
          <w:tcPr>
            <w:tcW w:w="173" w:type="dxa"/>
            <w:tcBorders/>
            <w:shd w:fill="CCEEFF" w:val="clear"/>
            <w:vAlign w:val="center"/>
          </w:tcPr>
          <w:p>
            <w:pPr>
              <w:pStyle w:val="TableContents"/>
              <w:bidi w:val="0"/>
              <w:spacing w:before="0" w:after="283"/>
              <w:ind w:left="0" w:right="0" w:hanging="180"/>
              <w:jc w:val="left"/>
              <w:rPr/>
            </w:pPr>
            <w:r>
              <w:rPr/>
              <w:t>)</w:t>
            </w:r>
          </w:p>
        </w:tc>
      </w:tr>
      <w:tr>
        <w:trPr/>
        <w:tc>
          <w:tcPr>
            <w:tcW w:w="2665"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(589,444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(589,444</w:t>
            </w:r>
          </w:p>
        </w:tc>
        <w:tc>
          <w:tcPr>
            <w:tcW w:w="173" w:type="dxa"/>
            <w:tcBorders/>
            <w:vAlign w:val="center"/>
          </w:tcPr>
          <w:p>
            <w:pPr>
              <w:pStyle w:val="TableContents"/>
              <w:bidi w:val="0"/>
              <w:spacing w:before="0" w:after="283"/>
              <w:ind w:left="0" w:right="0" w:hanging="180"/>
              <w:jc w:val="left"/>
              <w:rPr/>
            </w:pPr>
            <w:r>
              <w:rPr/>
              <w:t>)</w:t>
            </w:r>
          </w:p>
        </w:tc>
      </w:tr>
      <w:tr>
        <w:trPr/>
        <w:tc>
          <w:tcPr>
            <w:tcW w:w="2665" w:type="dxa"/>
            <w:tcBorders/>
            <w:shd w:fill="CCEEFF" w:val="clear"/>
            <w:vAlign w:val="center"/>
          </w:tcPr>
          <w:p>
            <w:pPr>
              <w:pStyle w:val="TableContents"/>
              <w:bidi w:val="0"/>
              <w:spacing w:before="0" w:after="283"/>
              <w:jc w:val="left"/>
              <w:rPr/>
            </w:pPr>
            <w:r>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t>(12,314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(12,314</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CAPITAL SHARE TRANSACTIONS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ind w:left="0" w:right="0" w:hanging="180"/>
              <w:jc w:val="left"/>
              <w:rPr/>
            </w:pPr>
            <w:r>
              <w:rPr/>
              <w:t> </w:t>
            </w:r>
          </w:p>
        </w:tc>
      </w:tr>
      <w:tr>
        <w:trPr/>
        <w:tc>
          <w:tcPr>
            <w:tcW w:w="2665" w:type="dxa"/>
            <w:tcBorders/>
            <w:shd w:fill="CCEEFF" w:val="clear"/>
            <w:vAlign w:val="center"/>
          </w:tcPr>
          <w:p>
            <w:pPr>
              <w:pStyle w:val="TableContents"/>
              <w:bidi w:val="0"/>
              <w:spacing w:before="0" w:after="283"/>
              <w:jc w:val="left"/>
              <w:rPr/>
            </w:pPr>
            <w:r>
              <w:rPr/>
              <w:t>Distributions declared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ind w:left="0" w:right="0" w:hanging="180"/>
              <w:jc w:val="left"/>
              <w:rPr/>
            </w:pPr>
            <w:r>
              <w:rPr/>
              <w:t> </w:t>
            </w:r>
          </w:p>
        </w:tc>
      </w:tr>
      <w:tr>
        <w:trPr/>
        <w:tc>
          <w:tcPr>
            <w:tcW w:w="2665" w:type="dxa"/>
            <w:tcBorders/>
            <w:vAlign w:val="center"/>
          </w:tcPr>
          <w:p>
            <w:pPr>
              <w:pStyle w:val="TableContents"/>
              <w:bidi w:val="0"/>
              <w:spacing w:before="0" w:after="283"/>
              <w:jc w:val="left"/>
              <w:rPr/>
            </w:pPr>
            <w:r>
              <w:rPr/>
              <w:t>Repurchase of common shares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(70,531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tcMar>
              <w:bottom w:w="28" w:type="dxa"/>
            </w:tcMar>
            <w:vAlign w:val="center"/>
          </w:tcPr>
          <w:p>
            <w:pPr>
              <w:pStyle w:val="TableContents"/>
              <w:bidi w:val="0"/>
              <w:spacing w:before="0" w:after="283"/>
              <w:jc w:val="right"/>
              <w:rPr/>
            </w:pPr>
            <w:r>
              <w:rPr/>
              <w:t>(71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(3,325,117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(3,325,188</w:t>
            </w:r>
          </w:p>
        </w:tc>
        <w:tc>
          <w:tcPr>
            <w:tcW w:w="173" w:type="dxa"/>
            <w:tcBorders/>
            <w:vAlign w:val="center"/>
          </w:tcPr>
          <w:p>
            <w:pPr>
              <w:pStyle w:val="TableContents"/>
              <w:bidi w:val="0"/>
              <w:spacing w:before="0" w:after="283"/>
              <w:jc w:val="left"/>
              <w:rPr/>
            </w:pPr>
            <w:r>
              <w:rPr/>
              <w:t>)</w:t>
            </w:r>
          </w:p>
        </w:tc>
      </w:tr>
      <w:tr>
        <w:trPr/>
        <w:tc>
          <w:tcPr>
            <w:tcW w:w="2665" w:type="dxa"/>
            <w:tcBorders/>
            <w:shd w:fill="CCEEFF" w:val="clear"/>
            <w:vAlign w:val="center"/>
          </w:tcPr>
          <w:p>
            <w:pPr>
              <w:pStyle w:val="TableContents"/>
              <w:bidi w:val="0"/>
              <w:spacing w:before="0" w:after="283"/>
              <w:jc w:val="left"/>
              <w:rPr>
                <w:b/>
              </w:rPr>
            </w:pPr>
            <w:r>
              <w:rPr>
                <w:b/>
              </w:rPr>
              <w:t>Total Increase (Decrease) in Net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(70,531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center"/>
          </w:tcPr>
          <w:p>
            <w:pPr>
              <w:pStyle w:val="TableContents"/>
              <w:bidi w:val="0"/>
              <w:spacing w:before="0" w:after="283"/>
              <w:jc w:val="right"/>
              <w:rPr/>
            </w:pPr>
            <w:r>
              <w:rPr/>
              <w:t>(71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(3,325,117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7" w:type="dxa"/>
            <w:tcBorders>
              <w:bottom w:val="single" w:sz="12" w:space="0" w:color="000000"/>
            </w:tcBorders>
            <w:shd w:fill="CCEEFF" w:val="clear"/>
            <w:tcMar>
              <w:bottom w:w="28" w:type="dxa"/>
            </w:tcMar>
            <w:vAlign w:val="center"/>
          </w:tcPr>
          <w:p>
            <w:pPr>
              <w:pStyle w:val="TableContents"/>
              <w:bidi w:val="0"/>
              <w:spacing w:before="0" w:after="283"/>
              <w:jc w:val="right"/>
              <w:rPr/>
            </w:pPr>
            <w:r>
              <w:rPr/>
              <w:t>(3,637,408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(6,962,596</w:t>
            </w:r>
          </w:p>
        </w:tc>
        <w:tc>
          <w:tcPr>
            <w:tcW w:w="173" w:type="dxa"/>
            <w:tcBorders/>
            <w:shd w:fill="CCEEFF" w:val="clear"/>
            <w:vAlign w:val="center"/>
          </w:tcPr>
          <w:p>
            <w:pPr>
              <w:pStyle w:val="TableContents"/>
              <w:bidi w:val="0"/>
              <w:spacing w:before="0" w:after="283"/>
              <w:jc w:val="left"/>
              <w:rPr/>
            </w:pPr>
            <w:r>
              <w:rPr/>
              <w:t>)</w:t>
            </w:r>
          </w:p>
        </w:tc>
      </w:tr>
      <w:tr>
        <w:trPr/>
        <w:tc>
          <w:tcPr>
            <w:tcW w:w="2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347"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665" w:type="dxa"/>
            <w:tcBorders/>
            <w:shd w:fill="CCEEFF" w:val="clear"/>
            <w:vAlign w:val="center"/>
          </w:tcPr>
          <w:p>
            <w:pPr>
              <w:pStyle w:val="TableContents"/>
              <w:bidi w:val="0"/>
              <w:spacing w:before="0" w:after="283"/>
              <w:jc w:val="left"/>
              <w:rPr>
                <w:b/>
              </w:rPr>
            </w:pPr>
            <w:r>
              <w:rPr>
                <w:b/>
              </w:rPr>
              <w:t>Balance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1,933,238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44" w:type="dxa"/>
            <w:tcBorders>
              <w:bottom w:val="double" w:sz="10" w:space="0" w:color="000000"/>
            </w:tcBorders>
            <w:shd w:fill="CCEEFF" w:val="clear"/>
            <w:tcMar>
              <w:bottom w:w="28" w:type="dxa"/>
            </w:tcMar>
            <w:vAlign w:val="center"/>
          </w:tcPr>
          <w:p>
            <w:pPr>
              <w:pStyle w:val="TableContents"/>
              <w:bidi w:val="0"/>
              <w:spacing w:before="0" w:after="283"/>
              <w:jc w:val="right"/>
              <w:rPr/>
            </w:pPr>
            <w:r>
              <w:rPr/>
              <w:t>1,933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701,315,531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7" w:type="dxa"/>
            <w:tcBorders>
              <w:bottom w:val="double" w:sz="10" w:space="0" w:color="000000"/>
            </w:tcBorders>
            <w:shd w:fill="CCEEFF" w:val="clear"/>
            <w:tcMar>
              <w:bottom w:w="28" w:type="dxa"/>
            </w:tcMar>
            <w:vAlign w:val="center"/>
          </w:tcPr>
          <w:p>
            <w:pPr>
              <w:pStyle w:val="TableContents"/>
              <w:bidi w:val="0"/>
              <w:spacing w:before="0" w:after="283"/>
              <w:jc w:val="right"/>
              <w:rPr/>
            </w:pPr>
            <w:r>
              <w:rPr/>
              <w:t>(547,505,760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153,811,704</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60"/>
        <w:gridCol w:w="90"/>
        <w:gridCol w:w="170"/>
        <w:gridCol w:w="1205"/>
        <w:gridCol w:w="125"/>
        <w:gridCol w:w="90"/>
        <w:gridCol w:w="170"/>
        <w:gridCol w:w="1325"/>
        <w:gridCol w:w="170"/>
      </w:tblGrid>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March 31,</w:t>
            </w:r>
          </w:p>
        </w:tc>
        <w:tc>
          <w:tcPr>
            <w:tcW w:w="170"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68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center"/>
              <w:rPr/>
            </w:pPr>
            <w:r>
              <w:rPr/>
              <w:t> </w:t>
            </w:r>
          </w:p>
        </w:tc>
      </w:tr>
      <w:tr>
        <w:trPr/>
        <w:tc>
          <w:tcPr>
            <w:tcW w:w="686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(3,637,408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1,568,024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860" w:type="dxa"/>
            <w:tcBorders/>
            <w:vAlign w:val="center"/>
          </w:tcPr>
          <w:p>
            <w:pPr>
              <w:pStyle w:val="TableContents"/>
              <w:bidi w:val="0"/>
              <w:spacing w:before="0" w:after="283"/>
              <w:jc w:val="left"/>
              <w:rPr/>
            </w:pPr>
            <w:r>
              <w:rPr/>
              <w:t>Adjustments to reconcile net increase (decrease) in net assets resulting from operations to net cash provided by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Proceeds from sale and settlements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30,432,416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74,044,664</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Purchases, originations and participations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(28,617,405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(132,927,926</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Investment increases due to payment-in-kind interest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(728,112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(618,465</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Net amortization of premium (discount)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(534,872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(119,140</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Amortization of debt issuance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166,304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184,269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Amortization of deferred financing cost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151,824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383,576</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Net realized (gains) losses from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424,982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(103,657</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Net unrealized (gains) losses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5,484,788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797,445</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Loss on extinguishment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12,314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(Increase) decrease in operating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Interest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(100,518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253,039</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Other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44,971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49,198</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Dividends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(21,850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23,468</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Due from affiliate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297,158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(167,352</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209,399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630,706</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Prepaid share repurchase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(19,627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Receivable for investments sold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(409,635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627,220</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Provision for deferred taxes on unrealized appreciation/(depreciation)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506,922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329,636</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Increase (decrease) in operating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Accounts payable and 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(2,897,175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(2,632,278</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Interest and fees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(56,166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310,633</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60,268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(70,701</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Due to Affiliate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(41,153</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Taxes payable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(89,401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b/>
              </w:rPr>
            </w:pPr>
            <w:r>
              <w:rPr>
                <w:b/>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673,748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(57,478,794</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Debt issuance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29,527,047</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Paydowns on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(1,563,137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(28,000,000</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Deferred financing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(42,068</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Distributions paid to shareholders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(2,888,283</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pPr>
            <w:r>
              <w:rPr/>
              <w:t>Repurchase of common shares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(3,325,188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Net cash provided by (used in) financing activities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(4,888,325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(1,403,304</w:t>
            </w:r>
          </w:p>
        </w:tc>
        <w:tc>
          <w:tcPr>
            <w:tcW w:w="170" w:type="dxa"/>
            <w:tcBorders/>
            <w:vAlign w:val="center"/>
          </w:tcPr>
          <w:p>
            <w:pPr>
              <w:pStyle w:val="TableContents"/>
              <w:bidi w:val="0"/>
              <w:spacing w:before="0" w:after="283"/>
              <w:jc w:val="left"/>
              <w:rPr/>
            </w:pPr>
            <w:r>
              <w:rPr/>
              <w:t>)</w:t>
            </w:r>
          </w:p>
        </w:tc>
      </w:tr>
      <w:tr>
        <w:trPr/>
        <w:tc>
          <w:tcPr>
            <w:tcW w:w="6860" w:type="dxa"/>
            <w:tcBorders/>
            <w:shd w:fill="CCEEFF" w:val="clear"/>
            <w:vAlign w:val="center"/>
          </w:tcPr>
          <w:p>
            <w:pPr>
              <w:pStyle w:val="TableContents"/>
              <w:bidi w:val="0"/>
              <w:spacing w:before="0" w:after="283"/>
              <w:jc w:val="left"/>
              <w:rPr>
                <w:b/>
              </w:rPr>
            </w:pPr>
            <w:r>
              <w:rPr>
                <w:b/>
              </w:rPr>
              <w:t>Net increase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(4,214,577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(58,882,098</w:t>
            </w:r>
          </w:p>
        </w:tc>
        <w:tc>
          <w:tcPr>
            <w:tcW w:w="170" w:type="dxa"/>
            <w:tcBorders/>
            <w:shd w:fill="CCEEFF" w:val="clear"/>
            <w:vAlign w:val="center"/>
          </w:tcPr>
          <w:p>
            <w:pPr>
              <w:pStyle w:val="TableContents"/>
              <w:bidi w:val="0"/>
              <w:spacing w:before="0" w:after="283"/>
              <w:jc w:val="left"/>
              <w:rPr/>
            </w:pPr>
            <w:r>
              <w:rPr/>
              <w:t>)</w:t>
            </w:r>
          </w:p>
        </w:tc>
      </w:tr>
      <w:tr>
        <w:trPr/>
        <w:tc>
          <w:tcPr>
            <w:tcW w:w="6860" w:type="dxa"/>
            <w:tcBorders/>
            <w:vAlign w:val="center"/>
          </w:tcPr>
          <w:p>
            <w:pPr>
              <w:pStyle w:val="TableContents"/>
              <w:bidi w:val="0"/>
              <w:spacing w:before="0" w:after="283"/>
              <w:jc w:val="left"/>
              <w:rPr/>
            </w:pPr>
            <w:r>
              <w:rPr/>
              <w:t>Cash and cash equivalents, beginning of period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7,289,371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tcMar>
              <w:bottom w:w="28" w:type="dxa"/>
            </w:tcMar>
            <w:vAlign w:val="center"/>
          </w:tcPr>
          <w:p>
            <w:pPr>
              <w:pStyle w:val="TableContents"/>
              <w:bidi w:val="0"/>
              <w:spacing w:before="0" w:after="283"/>
              <w:jc w:val="right"/>
              <w:rPr/>
            </w:pPr>
            <w:r>
              <w:rPr/>
              <w:t>67,571,559</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Cash and cash equivalents,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3,074,794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double" w:sz="10" w:space="0" w:color="000000"/>
            </w:tcBorders>
            <w:shd w:fill="CCEEFF" w:val="clear"/>
            <w:tcMar>
              <w:bottom w:w="28" w:type="dxa"/>
            </w:tcMar>
            <w:vAlign w:val="center"/>
          </w:tcPr>
          <w:p>
            <w:pPr>
              <w:pStyle w:val="TableContents"/>
              <w:bidi w:val="0"/>
              <w:spacing w:before="0" w:after="283"/>
              <w:jc w:val="right"/>
              <w:rPr/>
            </w:pPr>
            <w:r>
              <w:rPr/>
              <w:t>8,689,461</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b/>
              </w:rPr>
            </w:pPr>
            <w:r>
              <w:rPr>
                <w:b/>
              </w:rPr>
              <w:t>Supplemental information: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Interest paid during the period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4,472,529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pPr>
            <w:r>
              <w:rPr/>
              <w:t>4,200,858</w:t>
            </w:r>
          </w:p>
        </w:tc>
        <w:tc>
          <w:tcPr>
            <w:tcW w:w="170" w:type="dxa"/>
            <w:tcBorders/>
            <w:vAlign w:val="center"/>
          </w:tcPr>
          <w:p>
            <w:pPr>
              <w:pStyle w:val="TableContents"/>
              <w:bidi w:val="0"/>
              <w:spacing w:before="0" w:after="283"/>
              <w:jc w:val="left"/>
              <w:rPr/>
            </w:pPr>
            <w:r>
              <w:rPr/>
              <w:t> </w:t>
            </w:r>
          </w:p>
        </w:tc>
      </w:tr>
      <w:tr>
        <w:trPr/>
        <w:tc>
          <w:tcPr>
            <w:tcW w:w="6860" w:type="dxa"/>
            <w:tcBorders/>
            <w:shd w:fill="CCEEFF" w:val="clear"/>
            <w:vAlign w:val="center"/>
          </w:tcPr>
          <w:p>
            <w:pPr>
              <w:pStyle w:val="TableContents"/>
              <w:bidi w:val="0"/>
              <w:spacing w:before="0" w:after="283"/>
              <w:jc w:val="left"/>
              <w:rPr/>
            </w:pPr>
            <w:r>
              <w:rPr/>
              <w:t>Non-cash purchase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12,665,596</w:t>
            </w:r>
          </w:p>
        </w:tc>
        <w:tc>
          <w:tcPr>
            <w:tcW w:w="170" w:type="dxa"/>
            <w:tcBorders/>
            <w:shd w:fill="CCEEFF" w:val="clear"/>
            <w:vAlign w:val="center"/>
          </w:tcPr>
          <w:p>
            <w:pPr>
              <w:pStyle w:val="TableContents"/>
              <w:bidi w:val="0"/>
              <w:spacing w:before="0" w:after="283"/>
              <w:jc w:val="left"/>
              <w:rPr/>
            </w:pPr>
            <w:r>
              <w:rPr/>
              <w:t> </w:t>
            </w:r>
          </w:p>
        </w:tc>
      </w:tr>
      <w:tr>
        <w:trPr/>
        <w:tc>
          <w:tcPr>
            <w:tcW w:w="6860" w:type="dxa"/>
            <w:tcBorders/>
            <w:vAlign w:val="center"/>
          </w:tcPr>
          <w:p>
            <w:pPr>
              <w:pStyle w:val="TableContents"/>
              <w:bidi w:val="0"/>
              <w:spacing w:before="0" w:after="283"/>
              <w:jc w:val="left"/>
              <w:rPr/>
            </w:pPr>
            <w:r>
              <w:rPr/>
              <w:t>Non-cash sale of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12,665,596</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945" w:type="dxa"/>
        <w:jc w:val="left"/>
        <w:tblInd w:w="0" w:type="dxa"/>
        <w:tblLayout w:type="fixed"/>
        <w:tblCellMar>
          <w:top w:w="0" w:type="dxa"/>
          <w:left w:w="0" w:type="dxa"/>
          <w:bottom w:w="28" w:type="dxa"/>
          <w:right w:w="0" w:type="dxa"/>
        </w:tblCellMar>
      </w:tblPr>
      <w:tblGrid>
        <w:gridCol w:w="1610"/>
        <w:gridCol w:w="90"/>
        <w:gridCol w:w="1265"/>
        <w:gridCol w:w="90"/>
        <w:gridCol w:w="1265"/>
        <w:gridCol w:w="90"/>
        <w:gridCol w:w="965"/>
        <w:gridCol w:w="90"/>
        <w:gridCol w:w="90"/>
        <w:gridCol w:w="1130"/>
        <w:gridCol w:w="90"/>
        <w:gridCol w:w="90"/>
        <w:gridCol w:w="170"/>
        <w:gridCol w:w="1130"/>
        <w:gridCol w:w="90"/>
        <w:gridCol w:w="90"/>
        <w:gridCol w:w="170"/>
        <w:gridCol w:w="1130"/>
        <w:gridCol w:w="90"/>
        <w:gridCol w:w="90"/>
        <w:gridCol w:w="133"/>
        <w:gridCol w:w="697"/>
        <w:gridCol w:w="290"/>
      </w:tblGrid>
      <w:tr>
        <w:trPr/>
        <w:tc>
          <w:tcPr>
            <w:tcW w:w="161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Amortized </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 </w:t>
              <w:br/>
              <w:t>Assets</w:t>
            </w:r>
            <w:r>
              <w:rPr>
                <w:rFonts w:ascii="Times New Roman;Times;Serif" w:hAnsi="Times New Roman;Times;Serif"/>
                <w:b/>
                <w:position w:val="7"/>
                <w:sz w:val="16"/>
                <w:sz w:val="20"/>
              </w:rPr>
              <w:t>(5)</w:t>
            </w:r>
          </w:p>
        </w:tc>
        <w:tc>
          <w:tcPr>
            <w:tcW w:w="290" w:type="dxa"/>
            <w:tcBorders/>
            <w:tcMar>
              <w:bottom w:w="0" w:type="dxa"/>
            </w:tcMar>
            <w:vAlign w:val="center"/>
          </w:tcPr>
          <w:p>
            <w:pPr>
              <w:pStyle w:val="TableContents"/>
              <w:bidi w:val="0"/>
              <w:spacing w:before="0" w:after="283"/>
              <w:jc w:val="left"/>
              <w:rPr/>
            </w:pPr>
            <w:r>
              <w:rPr/>
              <w:t> </w:t>
            </w:r>
          </w:p>
        </w:tc>
      </w:tr>
      <w:tr>
        <w:trPr/>
        <w:tc>
          <w:tcPr>
            <w:tcW w:w="5375" w:type="dxa"/>
            <w:gridSpan w:val="7"/>
            <w:tcBorders/>
            <w:tcMar>
              <w:bottom w:w="0" w:type="dxa"/>
            </w:tcMar>
            <w:vAlign w:val="center"/>
          </w:tcPr>
          <w:p>
            <w:pPr>
              <w:pStyle w:val="TableContents"/>
              <w:bidi w:val="0"/>
              <w:spacing w:before="0" w:after="283"/>
              <w:jc w:val="left"/>
              <w:rPr>
                <w:b/>
                <w:u w:val="single"/>
              </w:rPr>
            </w:pPr>
            <w:r>
              <w:rPr>
                <w:b/>
                <w:u w:val="single"/>
              </w:rPr>
              <w:t>Non-Controlled/Non-Affiliated Investments:</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Adamas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- 140,721 Class E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140,721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3,531,064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3,442,036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2.25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- 17,243 Class F Preferred Units(13)(18)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17,243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375,635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404,866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0.26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157,964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3,906,699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3,846,902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2.51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Altisource S.A.R.L.(11)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B (SOFR + CSA + 6.50%)(14)(20)(24)(27)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8,012,982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8,769,200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8,213,307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5.34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- 547,179 Units(13)(21)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547,179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3,327,903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3,485,530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2.27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647,105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42,310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0.03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Warrants(13)(21)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4/30/2032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622,110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22,269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0.01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8,782,847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13,366,318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11,763,416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7.65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Arora Engineers,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First Lien Term Loan (SOFR + 6.75%, 0.25% PIK, 3.00%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9,689,062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9,495,281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9,398,391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6.11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Warrants - 444,382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444,382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831,961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Jacmel Arora,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- 3,150,000 Preferred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3,150,000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2,185,375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2,311,949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1.50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13,283,444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12,550,781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12,542,301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8.15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Chimera Investment Corp.(11)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- 22,829 Class C Preferred Units(13)(15)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22,829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525,748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450,188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0.29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22,829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525,748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450,188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0.29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Compass Diversified Holdings(11)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- 61,734 Series C Preferred Units(13)(28)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61,734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1,035,442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1,206,282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0.78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61,734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1,035,442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1,206,282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0.78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Copper Property CTL Pass Through Trust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Certificates(13)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4,324,211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4,754,454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3.09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4,324,211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4,754,454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3.09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Innovate Corp.(11)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10.50% Senior Secured Notes(14)(29)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2/1/2027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4,771,251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4,235,914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3,989,958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2.59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4,771,251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4,235,914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3,989,958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2.59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Invesco Mortgage Capital,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- 180,000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1,454,400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0.95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1,454,400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0.95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JFL-NGS-WCS Partners,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Construction &amp; Building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- 10,000,000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13,300,000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8.65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13,300,000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8.65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Kemmerer Operations,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Metals &amp; Mining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(SOFR + 5.00%)(24)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4.40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4.40</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bl>
      <w:tblPr>
        <w:tblW w:w="10585" w:type="dxa"/>
        <w:jc w:val="left"/>
        <w:tblInd w:w="0" w:type="dxa"/>
        <w:tblLayout w:type="fixed"/>
        <w:tblCellMar>
          <w:top w:w="0" w:type="dxa"/>
          <w:left w:w="0" w:type="dxa"/>
          <w:bottom w:w="28" w:type="dxa"/>
          <w:right w:w="0" w:type="dxa"/>
        </w:tblCellMar>
      </w:tblPr>
      <w:tblGrid>
        <w:gridCol w:w="1580"/>
        <w:gridCol w:w="90"/>
        <w:gridCol w:w="1325"/>
        <w:gridCol w:w="90"/>
        <w:gridCol w:w="1235"/>
        <w:gridCol w:w="90"/>
        <w:gridCol w:w="965"/>
        <w:gridCol w:w="90"/>
        <w:gridCol w:w="90"/>
        <w:gridCol w:w="1010"/>
        <w:gridCol w:w="90"/>
        <w:gridCol w:w="90"/>
        <w:gridCol w:w="170"/>
        <w:gridCol w:w="1010"/>
        <w:gridCol w:w="90"/>
        <w:gridCol w:w="90"/>
        <w:gridCol w:w="170"/>
        <w:gridCol w:w="1010"/>
        <w:gridCol w:w="90"/>
        <w:gridCol w:w="90"/>
        <w:gridCol w:w="133"/>
        <w:gridCol w:w="697"/>
        <w:gridCol w:w="290"/>
      </w:tblGrid>
      <w:tr>
        <w:trPr/>
        <w:tc>
          <w:tcPr>
            <w:tcW w:w="158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Amortized </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 </w:t>
              <w:br/>
              <w:t>Assets</w:t>
            </w:r>
            <w:r>
              <w:rPr>
                <w:rFonts w:ascii="Times New Roman;Times;Serif" w:hAnsi="Times New Roman;Times;Serif"/>
                <w:b/>
                <w:position w:val="7"/>
                <w:sz w:val="16"/>
                <w:sz w:val="20"/>
              </w:rPr>
              <w:t>(5)</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Lucky Bucks, LLC (dba Arc Gaming &amp; Technologies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Consumer Discretionary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Priority Second Out Term Loan (SOFR + CSA + 7.50%, 5.00% PIK, 1.00% Floor)(20)(25)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2,193,456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2,048,249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1,754,765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1.14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Priority First Out Exit Term Loan (SOFR + CSA + 7.50%, 1.00% Floor)(20)(25)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10/2/2028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1,510,449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1,406,952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1,480,240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0.96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LB NewHoldCo,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- 230,739 Membership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230,739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449,393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0.00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3,934,644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3,904,594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3,235,005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2.10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MFA Financial,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- 39,493 Class C Preferred Units(13)(24)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39,493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971,472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836,067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0.54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- 120,000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120,000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1,175,317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1,149,600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0.75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159,493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2,146,789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1,985,667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1.29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Onity Group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- 200,000 Preferred Units(28)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4,068,000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2.64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4,068,000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2.64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PHH Mortgage Corp.</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9.875% Senior Secured Note(14)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2,412,500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1.57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2,412,500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1.57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Power Stop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Automotive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Term Loan (SOFR + CSA + 4.75%,0.50% Floor)(14)(20)(24)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1/26/2029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9,653,266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8,462,396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8,229,410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5.35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9,653,266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8,462,396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8,229,410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5.35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PREIT Associates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Term Loan (SOFR + 7.00%)(14)(23)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56,201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55,077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57,466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0.04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Revolving Note (SOFR + 5.50%)(8)(23)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73,083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72,230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71,251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0.05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129,284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127,307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128,717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0.09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PSB Group,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Term Loan (SOFR + 6.50%,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5,677,941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5,653,648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5,677,941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3.69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Revolver (SOFR + 6.50%,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0.19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5,971,078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5,946,785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5,971,078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3.88</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0515" w:type="dxa"/>
        <w:jc w:val="left"/>
        <w:tblInd w:w="0" w:type="dxa"/>
        <w:tblLayout w:type="fixed"/>
        <w:tblCellMar>
          <w:top w:w="0" w:type="dxa"/>
          <w:left w:w="0" w:type="dxa"/>
          <w:bottom w:w="28" w:type="dxa"/>
          <w:right w:w="0" w:type="dxa"/>
        </w:tblCellMar>
      </w:tblPr>
      <w:tblGrid>
        <w:gridCol w:w="1220"/>
        <w:gridCol w:w="90"/>
        <w:gridCol w:w="1475"/>
        <w:gridCol w:w="90"/>
        <w:gridCol w:w="1175"/>
        <w:gridCol w:w="90"/>
        <w:gridCol w:w="965"/>
        <w:gridCol w:w="90"/>
        <w:gridCol w:w="90"/>
        <w:gridCol w:w="1130"/>
        <w:gridCol w:w="90"/>
        <w:gridCol w:w="90"/>
        <w:gridCol w:w="90"/>
        <w:gridCol w:w="1130"/>
        <w:gridCol w:w="90"/>
        <w:gridCol w:w="90"/>
        <w:gridCol w:w="90"/>
        <w:gridCol w:w="1130"/>
        <w:gridCol w:w="90"/>
        <w:gridCol w:w="90"/>
        <w:gridCol w:w="133"/>
        <w:gridCol w:w="697"/>
        <w:gridCol w:w="290"/>
      </w:tblGrid>
      <w:tr>
        <w:trPr/>
        <w:tc>
          <w:tcPr>
            <w:tcW w:w="122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Amortized </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 </w:t>
              <w:br/>
              <w:t>Assets</w:t>
            </w:r>
            <w:r>
              <w:rPr>
                <w:rFonts w:ascii="Times New Roman;Times;Serif" w:hAnsi="Times New Roman;Times;Serif"/>
                <w:b/>
                <w:position w:val="7"/>
                <w:sz w:val="16"/>
                <w:sz w:val="20"/>
              </w:rPr>
              <w:t>(5)</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Redwood Trust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- 185,000 Common Units(13)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185,000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1,127,150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1,037,850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0.67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1,127,150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1,037,850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0.67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Spotter Inc.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High Tech Industries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Series E-1 Preferred Stock(21)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750,005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792,844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0.52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Series E-2-D Preferred Stock(21)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5,862,246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3.81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466,079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6,750,003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6,655,090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4.33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SS Acquisition, LLC (dba Soccer Shots Franchising)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+ 5.75%, 1.00% Floor)(23)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13,401,786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13,342,528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13,401,786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8.71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Revolver (SOFR + 5.75%, 1.00% Floor)(8)(12)(23)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0.26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13,801,786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13,742,528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13,801,786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8.97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Stancor (dba Industrial Flow Solutions Holdings,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- 358,867 Class A Units(21)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0.20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0.20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Tamarix Capital Partners II, L.P.(11)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Banking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Fund Investment(8)(22)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 </w:t>
            </w:r>
            <w:r>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2,138,134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2,319,823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1.51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2,138,134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2,319,823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1.51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Thryv Holdings, Inc.(11)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Media: Broadcasting &amp; Subscription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+ 6.75%, 1.00% Floor)(14)(23)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5/1/2029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2,011,129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1,984,500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single" w:sz="12" w:space="0" w:color="000000"/>
            </w:tcBorders>
            <w:shd w:fill="CCEEFF" w:val="clear"/>
            <w:vAlign w:val="center"/>
          </w:tcPr>
          <w:p>
            <w:pPr>
              <w:pStyle w:val="TableContents"/>
              <w:bidi w:val="0"/>
              <w:spacing w:before="0" w:after="283"/>
              <w:jc w:val="left"/>
              <w:rPr/>
            </w:pPr>
            <w:r>
              <w:rPr/>
              <w:t> </w:t>
            </w:r>
          </w:p>
        </w:tc>
        <w:tc>
          <w:tcPr>
            <w:tcW w:w="697" w:type="dxa"/>
            <w:tcBorders>
              <w:bottom w:val="single" w:sz="12" w:space="0" w:color="000000"/>
            </w:tcBorders>
            <w:shd w:fill="CCEEFF" w:val="clear"/>
            <w:vAlign w:val="center"/>
          </w:tcPr>
          <w:p>
            <w:pPr>
              <w:pStyle w:val="TableContents"/>
              <w:bidi w:val="0"/>
              <w:spacing w:before="0" w:after="283"/>
              <w:jc w:val="right"/>
              <w:rPr/>
            </w:pPr>
            <w:r>
              <w:rPr/>
              <w:t>1.29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2,011,129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1,984,500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1.29</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1140" w:type="dxa"/>
        <w:jc w:val="left"/>
        <w:tblInd w:w="0" w:type="dxa"/>
        <w:tblLayout w:type="fixed"/>
        <w:tblCellMar>
          <w:top w:w="0" w:type="dxa"/>
          <w:left w:w="0" w:type="dxa"/>
          <w:bottom w:w="28" w:type="dxa"/>
          <w:right w:w="0" w:type="dxa"/>
        </w:tblCellMar>
      </w:tblPr>
      <w:tblGrid>
        <w:gridCol w:w="1730"/>
        <w:gridCol w:w="90"/>
        <w:gridCol w:w="1070"/>
        <w:gridCol w:w="90"/>
        <w:gridCol w:w="1175"/>
        <w:gridCol w:w="90"/>
        <w:gridCol w:w="965"/>
        <w:gridCol w:w="90"/>
        <w:gridCol w:w="90"/>
        <w:gridCol w:w="1250"/>
        <w:gridCol w:w="90"/>
        <w:gridCol w:w="90"/>
        <w:gridCol w:w="170"/>
        <w:gridCol w:w="1250"/>
        <w:gridCol w:w="90"/>
        <w:gridCol w:w="90"/>
        <w:gridCol w:w="170"/>
        <w:gridCol w:w="1250"/>
        <w:gridCol w:w="90"/>
        <w:gridCol w:w="90"/>
        <w:gridCol w:w="103"/>
        <w:gridCol w:w="682"/>
        <w:gridCol w:w="335"/>
      </w:tblGrid>
      <w:tr>
        <w:trPr/>
        <w:tc>
          <w:tcPr>
            <w:tcW w:w="173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center"/>
              <w:rPr/>
            </w:pPr>
            <w:r>
              <w:rPr/>
              <w:t> </w:t>
            </w:r>
          </w:p>
        </w:tc>
        <w:tc>
          <w:tcPr>
            <w:tcW w:w="1070"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center"/>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center"/>
              <w:rPr/>
            </w:pPr>
            <w:r>
              <w:rPr/>
              <w:t> </w:t>
            </w:r>
          </w:p>
        </w:tc>
        <w:tc>
          <w:tcPr>
            <w:tcW w:w="13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Amortized </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4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7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w:t>
              <w:br/>
              <w:t>Assets</w:t>
            </w:r>
            <w:r>
              <w:rPr>
                <w:rFonts w:ascii="Times New Roman;Times;Serif" w:hAnsi="Times New Roman;Times;Serif"/>
                <w:b/>
                <w:position w:val="7"/>
                <w:sz w:val="16"/>
                <w:sz w:val="20"/>
              </w:rPr>
              <w:t>(5)</w:t>
            </w:r>
          </w:p>
        </w:tc>
        <w:tc>
          <w:tcPr>
            <w:tcW w:w="335" w:type="dxa"/>
            <w:tcBorders/>
            <w:tcMar>
              <w:bottom w:w="0" w:type="dxa"/>
            </w:tcMar>
            <w:vAlign w:val="center"/>
          </w:tcPr>
          <w:p>
            <w:pPr>
              <w:pStyle w:val="TableContents"/>
              <w:bidi w:val="0"/>
              <w:spacing w:before="0" w:after="283"/>
              <w:ind w:left="0" w:right="0" w:hanging="180"/>
              <w:jc w:val="center"/>
              <w:rPr/>
            </w:pPr>
            <w:r>
              <w:rPr/>
              <w:t> </w:t>
            </w:r>
          </w:p>
        </w:tc>
      </w:tr>
      <w:tr>
        <w:trPr/>
        <w:tc>
          <w:tcPr>
            <w:tcW w:w="1730" w:type="dxa"/>
            <w:tcBorders/>
            <w:shd w:fill="CCEEFF" w:val="clear"/>
            <w:tcMar>
              <w:bottom w:w="0" w:type="dxa"/>
            </w:tcMar>
            <w:vAlign w:val="center"/>
          </w:tcPr>
          <w:p>
            <w:pPr>
              <w:pStyle w:val="TableContents"/>
              <w:bidi w:val="0"/>
              <w:spacing w:before="0" w:after="283"/>
              <w:jc w:val="left"/>
              <w:rPr/>
            </w:pPr>
            <w:r>
              <w:rPr/>
              <w:t>WHI Global,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Aerospace &amp; Defense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Revolving Note(SOFR + CSA + 8.75%, 3.00% Floor)(8)(12)(20)(23)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1,452,373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1,593,293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1,468,349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0.95</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CSA + 8.75%, 3.00% Floor)(20)(23)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12,307,680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12,207,606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12,443,063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8.10</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- 350 Common Shares(21)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700,000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1,344,833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682" w:type="dxa"/>
            <w:tcBorders>
              <w:bottom w:val="single" w:sz="12" w:space="0" w:color="000000"/>
            </w:tcBorders>
            <w:shd w:fill="CCEEFF" w:val="clear"/>
            <w:vAlign w:val="center"/>
          </w:tcPr>
          <w:p>
            <w:pPr>
              <w:pStyle w:val="TableContents"/>
              <w:bidi w:val="0"/>
              <w:spacing w:before="0" w:after="283"/>
              <w:jc w:val="right"/>
              <w:rPr/>
            </w:pPr>
            <w:r>
              <w:rPr/>
              <w:t>0.87</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13,760,403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14,500,899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15,256,245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9.92</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180"/>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pPr>
            <w:r>
              <w:rPr/>
              <w:t>XYZ Roofco, LLC (dba SMC Roofing Solutions LLC)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Out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605,831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611,209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589,170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0.38</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Out Delayed Draw Term Loan (SOFR + 3.50%,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30,950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31,933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30,099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0.02</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Last Out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1,863,568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1,863,648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1,807,661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82" w:type="dxa"/>
            <w:tcBorders/>
            <w:shd w:fill="CCEEFF" w:val="clear"/>
            <w:tcMar>
              <w:bottom w:w="0" w:type="dxa"/>
            </w:tcMar>
            <w:vAlign w:val="center"/>
          </w:tcPr>
          <w:p>
            <w:pPr>
              <w:pStyle w:val="TableContents"/>
              <w:bidi w:val="0"/>
              <w:spacing w:before="0" w:after="283"/>
              <w:jc w:val="right"/>
              <w:rPr/>
            </w:pPr>
            <w:r>
              <w:rPr/>
              <w:t>1.18</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Last Out Delayed Draw Term Loan (SOFR + 6.25% + 2.75% First Out Skim, 2.00% Floor)(24)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135,879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682" w:type="dxa"/>
            <w:tcBorders>
              <w:bottom w:val="single" w:sz="12" w:space="0" w:color="000000"/>
            </w:tcBorders>
            <w:shd w:fill="CCEEFF" w:val="clear"/>
            <w:vAlign w:val="center"/>
          </w:tcPr>
          <w:p>
            <w:pPr>
              <w:pStyle w:val="TableContents"/>
              <w:bidi w:val="0"/>
              <w:spacing w:before="0" w:after="283"/>
              <w:jc w:val="right"/>
              <w:rPr/>
            </w:pPr>
            <w:r>
              <w:rPr/>
              <w:t>0.09</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2,640,431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2,646,872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2,562,809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682" w:type="dxa"/>
            <w:tcBorders>
              <w:bottom w:val="single" w:sz="12" w:space="0" w:color="000000"/>
            </w:tcBorders>
            <w:shd w:fill="CCEEFF" w:val="clear"/>
            <w:vAlign w:val="center"/>
          </w:tcPr>
          <w:p>
            <w:pPr>
              <w:pStyle w:val="TableContents"/>
              <w:bidi w:val="0"/>
              <w:spacing w:before="0" w:after="283"/>
              <w:jc w:val="right"/>
              <w:rPr/>
            </w:pPr>
            <w:r>
              <w:rPr/>
              <w:t>1.67</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730"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682"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180"/>
              <w:jc w:val="left"/>
              <w:rPr/>
            </w:pPr>
            <w:r>
              <w:rPr/>
              <w:t> </w:t>
            </w:r>
          </w:p>
        </w:tc>
      </w:tr>
      <w:tr>
        <w:trPr/>
        <w:tc>
          <w:tcPr>
            <w:tcW w:w="1730" w:type="dxa"/>
            <w:tcBorders/>
            <w:shd w:fill="CCEEFF" w:val="clear"/>
            <w:tcMar>
              <w:bottom w:w="0" w:type="dxa"/>
            </w:tcMar>
            <w:vAlign w:val="center"/>
          </w:tcPr>
          <w:p>
            <w:pPr>
              <w:pStyle w:val="TableContents"/>
              <w:bidi w:val="0"/>
              <w:spacing w:before="0" w:after="283"/>
              <w:jc w:val="left"/>
              <w:rPr>
                <w:b/>
              </w:rPr>
            </w:pPr>
            <w:r>
              <w:rPr>
                <w:b/>
              </w:rPr>
              <w:t>Subtotal Non-Controlled/Non-Affiliated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100,245,977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128,237,811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130,033,295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682" w:type="dxa"/>
            <w:tcBorders>
              <w:bottom w:val="single" w:sz="12" w:space="0" w:color="000000"/>
            </w:tcBorders>
            <w:shd w:fill="CCEEFF" w:val="clear"/>
            <w:vAlign w:val="center"/>
          </w:tcPr>
          <w:p>
            <w:pPr>
              <w:pStyle w:val="TableContents"/>
              <w:bidi w:val="0"/>
              <w:spacing w:before="0" w:after="283"/>
              <w:jc w:val="right"/>
              <w:rPr>
                <w:b/>
              </w:rPr>
            </w:pPr>
            <w:r>
              <w:rPr>
                <w:b/>
              </w:rPr>
              <w:t>84.54</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315" w:type="dxa"/>
        <w:jc w:val="left"/>
        <w:tblInd w:w="0" w:type="dxa"/>
        <w:tblLayout w:type="fixed"/>
        <w:tblCellMar>
          <w:top w:w="0" w:type="dxa"/>
          <w:left w:w="0" w:type="dxa"/>
          <w:bottom w:w="28" w:type="dxa"/>
          <w:right w:w="0" w:type="dxa"/>
        </w:tblCellMar>
      </w:tblPr>
      <w:tblGrid>
        <w:gridCol w:w="1100"/>
        <w:gridCol w:w="90"/>
        <w:gridCol w:w="1070"/>
        <w:gridCol w:w="90"/>
        <w:gridCol w:w="1295"/>
        <w:gridCol w:w="90"/>
        <w:gridCol w:w="965"/>
        <w:gridCol w:w="90"/>
        <w:gridCol w:w="90"/>
        <w:gridCol w:w="1130"/>
        <w:gridCol w:w="90"/>
        <w:gridCol w:w="90"/>
        <w:gridCol w:w="170"/>
        <w:gridCol w:w="1130"/>
        <w:gridCol w:w="90"/>
        <w:gridCol w:w="90"/>
        <w:gridCol w:w="170"/>
        <w:gridCol w:w="1130"/>
        <w:gridCol w:w="90"/>
        <w:gridCol w:w="90"/>
        <w:gridCol w:w="109"/>
        <w:gridCol w:w="721"/>
        <w:gridCol w:w="335"/>
      </w:tblGrid>
      <w:tr>
        <w:trPr/>
        <w:tc>
          <w:tcPr>
            <w:tcW w:w="110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Amortized </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 </w:t>
              <w:br/>
              <w:t>Assets</w:t>
            </w:r>
            <w:r>
              <w:rPr>
                <w:rFonts w:ascii="Times New Roman;Times;Serif" w:hAnsi="Times New Roman;Times;Serif"/>
                <w:b/>
                <w:position w:val="7"/>
                <w:sz w:val="16"/>
                <w:sz w:val="20"/>
              </w:rPr>
              <w:t>(5)</w:t>
            </w:r>
          </w:p>
        </w:tc>
        <w:tc>
          <w:tcPr>
            <w:tcW w:w="335" w:type="dxa"/>
            <w:tcBorders/>
            <w:tcMar>
              <w:bottom w:w="0" w:type="dxa"/>
            </w:tcMar>
            <w:vAlign w:val="center"/>
          </w:tcPr>
          <w:p>
            <w:pPr>
              <w:pStyle w:val="TableContents"/>
              <w:bidi w:val="0"/>
              <w:spacing w:before="0" w:after="283"/>
              <w:jc w:val="left"/>
              <w:rPr/>
            </w:pPr>
            <w:r>
              <w:rPr/>
              <w:t> </w:t>
            </w:r>
          </w:p>
        </w:tc>
      </w:tr>
      <w:tr>
        <w:trPr/>
        <w:tc>
          <w:tcPr>
            <w:tcW w:w="2350" w:type="dxa"/>
            <w:gridSpan w:val="4"/>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Affiliated Investments:</w:t>
            </w:r>
            <w:r>
              <w:rPr>
                <w:rFonts w:ascii="Times New Roman;Times;Serif" w:hAnsi="Times New Roman;Times;Serif"/>
                <w:b/>
                <w:position w:val="7"/>
                <w:sz w:val="16"/>
                <w:sz w:val="20"/>
              </w:rPr>
              <w:t>(6)</w:t>
            </w:r>
          </w:p>
        </w:tc>
        <w:tc>
          <w:tcPr>
            <w:tcW w:w="1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0"/>
              <w:jc w:val="left"/>
              <w:rPr/>
            </w:pPr>
            <w:r>
              <w:rPr/>
              <w:t>Advocates for Disabled Vets, LLC (dba Reps for Vets)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Senior Secured First Lien Term Loan (10.00% + 4.00% PIK)</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3/7/2030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8,895,231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8,748,097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8,650,613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5.62</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Equity - 3,375,000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2,798,324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1.82</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12,270,231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12,123,097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11,448,937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7.44</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FST Holdings Parent,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High Tech Industries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Equity - 625,548 Class A Units(17)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12,185,404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7.93</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12,185,404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7.93</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180"/>
              <w:jc w:val="left"/>
              <w:rPr/>
            </w:pPr>
            <w:r>
              <w:rPr/>
              <w:t> </w:t>
            </w:r>
          </w:p>
        </w:tc>
      </w:tr>
      <w:tr>
        <w:trPr/>
        <w:tc>
          <w:tcPr>
            <w:tcW w:w="1100" w:type="dxa"/>
            <w:tcBorders/>
            <w:shd w:fill="CCEEFF" w:val="clear"/>
            <w:tcMar>
              <w:bottom w:w="0" w:type="dxa"/>
            </w:tcMar>
            <w:vAlign w:val="center"/>
          </w:tcPr>
          <w:p>
            <w:pPr>
              <w:pStyle w:val="TableContents"/>
              <w:bidi w:val="0"/>
              <w:spacing w:before="0" w:after="283"/>
              <w:jc w:val="left"/>
              <w:rPr/>
            </w:pPr>
            <w:r>
              <w:rPr/>
              <w:t>MB Precision Investment Holdings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Aerospace &amp; Defense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Senior Secured First Lien Term Loan(SOFR + CSA + 8.00%, 4.00% Floor)(20)(24)(27)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6,757,183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6,653,243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6,123,697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3.98</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Senior Secured Delayed Draw Term Loan (SOFR + CSA + 10.00%, 4.00% Floor)(8)(20)(24)(27)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1,943,662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1,877,425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1,786,126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1.16</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Senior Secured First Lien Revolver (SOFR + CSA + 8.00%, 4.00% Floor)(8)(12)(20)(24)(27)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2,193,797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2,170,442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1,988,129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1.29</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Senior Secured 6th Amendment Term Loan (SOFR + CSA + 10.00%, 4.00% Floor)(20)(24)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591,549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573,803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550,880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0.36</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Equity - Class E Preferred Units(21)(27)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4,525,766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3,594,303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2,692,831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1.75</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Warrants - 2.28% of Outstanding Equity(21)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3,380,282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827,409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0.00</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19,392,239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15,696,625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13,141,663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pPr>
            <w:r>
              <w:rPr/>
              <w:t>8.54</w:t>
            </w:r>
          </w:p>
        </w:tc>
        <w:tc>
          <w:tcPr>
            <w:tcW w:w="33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10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 w:type="dxa"/>
            <w:tcBorders/>
            <w:tcMar>
              <w:bottom w:w="0" w:type="dxa"/>
            </w:tcMar>
            <w:vAlign w:val="center"/>
          </w:tcPr>
          <w:p>
            <w:pPr>
              <w:pStyle w:val="TableContents"/>
              <w:bidi w:val="0"/>
              <w:spacing w:before="0" w:after="283"/>
              <w:jc w:val="left"/>
              <w:rPr/>
            </w:pPr>
            <w:r>
              <w:rPr/>
              <w:t> </w:t>
            </w:r>
          </w:p>
        </w:tc>
        <w:tc>
          <w:tcPr>
            <w:tcW w:w="721"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4700" w:type="dxa"/>
            <w:gridSpan w:val="7"/>
            <w:tcBorders/>
            <w:shd w:fill="CCEEFF" w:val="clear"/>
            <w:tcMar>
              <w:bottom w:w="0" w:type="dxa"/>
            </w:tcMar>
            <w:vAlign w:val="center"/>
          </w:tcPr>
          <w:p>
            <w:pPr>
              <w:pStyle w:val="TableContents"/>
              <w:bidi w:val="0"/>
              <w:spacing w:before="0" w:after="283"/>
              <w:jc w:val="left"/>
              <w:rPr>
                <w:b/>
              </w:rPr>
            </w:pPr>
            <w:r>
              <w:rPr>
                <w:b/>
              </w:rPr>
              <w:t>Subtotal 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32,288,018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37,828,011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36,776,004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CCEEFF" w:val="clear"/>
            <w:vAlign w:val="center"/>
          </w:tcPr>
          <w:p>
            <w:pPr>
              <w:pStyle w:val="TableContents"/>
              <w:bidi w:val="0"/>
              <w:spacing w:before="0" w:after="283"/>
              <w:jc w:val="left"/>
              <w:rPr/>
            </w:pPr>
            <w:r>
              <w:rPr/>
              <w:t> </w:t>
            </w:r>
          </w:p>
        </w:tc>
        <w:tc>
          <w:tcPr>
            <w:tcW w:w="721" w:type="dxa"/>
            <w:tcBorders>
              <w:bottom w:val="single" w:sz="12" w:space="0" w:color="000000"/>
            </w:tcBorders>
            <w:shd w:fill="CCEEFF" w:val="clear"/>
            <w:vAlign w:val="center"/>
          </w:tcPr>
          <w:p>
            <w:pPr>
              <w:pStyle w:val="TableContents"/>
              <w:bidi w:val="0"/>
              <w:spacing w:before="0" w:after="283"/>
              <w:jc w:val="right"/>
              <w:rPr>
                <w:b/>
              </w:rPr>
            </w:pPr>
            <w:r>
              <w:rPr>
                <w:b/>
              </w:rPr>
              <w:t>23.91</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170" w:type="dxa"/>
        <w:jc w:val="left"/>
        <w:tblInd w:w="0" w:type="dxa"/>
        <w:tblLayout w:type="fixed"/>
        <w:tblCellMar>
          <w:top w:w="0" w:type="dxa"/>
          <w:left w:w="0" w:type="dxa"/>
          <w:bottom w:w="28" w:type="dxa"/>
          <w:right w:w="0" w:type="dxa"/>
        </w:tblCellMar>
      </w:tblPr>
      <w:tblGrid>
        <w:gridCol w:w="950"/>
        <w:gridCol w:w="90"/>
        <w:gridCol w:w="995"/>
        <w:gridCol w:w="90"/>
        <w:gridCol w:w="2015"/>
        <w:gridCol w:w="90"/>
        <w:gridCol w:w="965"/>
        <w:gridCol w:w="90"/>
        <w:gridCol w:w="90"/>
        <w:gridCol w:w="1250"/>
        <w:gridCol w:w="90"/>
        <w:gridCol w:w="90"/>
        <w:gridCol w:w="170"/>
        <w:gridCol w:w="1250"/>
        <w:gridCol w:w="90"/>
        <w:gridCol w:w="90"/>
        <w:gridCol w:w="170"/>
        <w:gridCol w:w="1250"/>
        <w:gridCol w:w="90"/>
        <w:gridCol w:w="90"/>
        <w:gridCol w:w="93"/>
        <w:gridCol w:w="737"/>
        <w:gridCol w:w="335"/>
      </w:tblGrid>
      <w:tr>
        <w:trPr/>
        <w:tc>
          <w:tcPr>
            <w:tcW w:w="9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9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201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Par Amount/</w:t>
              <w:br/>
              <w:t>Shares/Units</w:t>
            </w:r>
            <w:r>
              <w:rPr>
                <w:rFonts w:ascii="Times New Roman;Times;Serif" w:hAnsi="Times New Roman;Times;Serif"/>
                <w:b/>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Amortized</w:t>
              <w:br/>
              <w:t>Cost</w:t>
            </w:r>
            <w:r>
              <w:rPr>
                <w:rFonts w:ascii="Times New Roman;Times;Serif" w:hAnsi="Times New Roman;Times;Serif"/>
                <w:b/>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r>
              <w:rPr>
                <w:rFonts w:ascii="Times New Roman;Times;Serif" w:hAnsi="Times New Roman;Times;Serif"/>
                <w:b/>
                <w:position w:val="7"/>
                <w:sz w:val="16"/>
                <w:sz w:val="20"/>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Net </w:t>
              <w:br/>
              <w:t>Assets</w:t>
            </w:r>
            <w:r>
              <w:rPr>
                <w:rFonts w:ascii="Times New Roman;Times;Serif" w:hAnsi="Times New Roman;Times;Serif"/>
                <w:b/>
                <w:position w:val="7"/>
                <w:sz w:val="16"/>
                <w:sz w:val="20"/>
              </w:rPr>
              <w:t>(5)</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4140" w:type="dxa"/>
            <w:gridSpan w:val="5"/>
            <w:tcBorders/>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Controlled Investments:</w:t>
            </w:r>
            <w:r>
              <w:rPr>
                <w:rFonts w:ascii="Times New Roman;Times;Serif" w:hAnsi="Times New Roman;Times;Serif"/>
                <w:b/>
                <w:position w:val="7"/>
                <w:sz w:val="16"/>
                <w:sz w:val="20"/>
                <w:u w:val="single"/>
              </w:rPr>
              <w:t>(7)</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pPr>
            <w:r>
              <w:rPr/>
              <w:t>ECC Capital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Equity - 84,000,000 Units(13)(21)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4,257,002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9,660,000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6.28</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Senior Secured Promissory Note (SOFR + 5.00%, 0.00%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pPr>
            <w:r>
              <w:rPr/>
              <w:t>4.55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90,997,012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11,254,014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16,657,012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10.83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0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pPr>
            <w:r>
              <w:rPr/>
              <w:t>FlexFIN,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Equity Interest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pPr>
            <w:r>
              <w:rPr/>
              <w:t>23.92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23.92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0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pPr>
            <w:r>
              <w:rPr/>
              <w:t>NSG Captive,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Insurance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Equity - 100,000 Units(9)(21)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55,729,376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55,355,693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pPr>
            <w:r>
              <w:rPr/>
              <w:t>36.00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55,729,376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55,355,693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36.00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0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pPr>
            <w:r>
              <w:rPr/>
              <w:t>NVTN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Hotel, Gaming &amp; Leisure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Senior Secured First Lien Term Loan D (SOFR + 7.00%,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9,850,000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9,979,539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9,800,750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6.37</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Senior Secured First Lien Term Loan B  (AFR)(26)</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17,552,420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13,916,082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9,741,593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6.33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Senior Secured First Lien Term Loan C (SOFR + 12.00% PIK, 2.00% Floor)(10)</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11,506,159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7,570,055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0.00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Senior Secured Revolving Note (SOFR + 7.00%,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pPr>
            <w:r>
              <w:rPr/>
              <w:t>0.42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Equity - 1,000 Class A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0"/>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21,450,924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pPr>
            <w:r>
              <w:rPr/>
              <w:t>0.00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39,559,579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53,566,600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20,192,343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pPr>
            <w:r>
              <w:rPr/>
              <w:t>13.12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0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2125" w:type="dxa"/>
            <w:gridSpan w:val="4"/>
            <w:tcBorders/>
            <w:shd w:fill="CCEEFF" w:val="clear"/>
            <w:tcMar>
              <w:bottom w:w="0" w:type="dxa"/>
            </w:tcMar>
            <w:vAlign w:val="center"/>
          </w:tcPr>
          <w:p>
            <w:pPr>
              <w:pStyle w:val="TableContents"/>
              <w:bidi w:val="0"/>
              <w:spacing w:before="0" w:after="283"/>
              <w:ind w:left="0" w:right="0" w:hanging="0"/>
              <w:jc w:val="left"/>
              <w:rPr>
                <w:b/>
              </w:rPr>
            </w:pPr>
            <w:r>
              <w:rPr>
                <w:b/>
              </w:rPr>
              <w:t>Subtotal Control Investments</w:t>
            </w:r>
          </w:p>
        </w:tc>
        <w:tc>
          <w:tcPr>
            <w:tcW w:w="201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167,452,935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157,346,334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129,001,392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single" w:sz="12" w:space="0" w:color="000000"/>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vAlign w:val="center"/>
          </w:tcPr>
          <w:p>
            <w:pPr>
              <w:pStyle w:val="TableContents"/>
              <w:bidi w:val="0"/>
              <w:spacing w:before="0" w:after="283"/>
              <w:jc w:val="right"/>
              <w:rPr>
                <w:b/>
              </w:rPr>
            </w:pPr>
            <w:r>
              <w:rPr>
                <w:b/>
              </w:rPr>
              <w:t>83.87</w:t>
            </w:r>
          </w:p>
        </w:tc>
        <w:tc>
          <w:tcPr>
            <w:tcW w:w="335" w:type="dxa"/>
            <w:tcBorders/>
            <w:shd w:fill="CCEEFF" w:val="clear"/>
            <w:tcMar>
              <w:bottom w:w="0" w:type="dxa"/>
            </w:tcMar>
            <w:vAlign w:val="center"/>
          </w:tcPr>
          <w:p>
            <w:pPr>
              <w:pStyle w:val="TableContents"/>
              <w:bidi w:val="0"/>
              <w:spacing w:before="0" w:after="283"/>
              <w:ind w:left="0" w:right="0" w:hanging="0"/>
              <w:jc w:val="left"/>
              <w:rPr>
                <w:b/>
              </w:rPr>
            </w:pPr>
            <w:r>
              <w:rPr>
                <w:b/>
              </w:rPr>
              <w:t>%</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201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 w:type="dxa"/>
            <w:tcBorders/>
            <w:tcMar>
              <w:bottom w:w="0" w:type="dxa"/>
            </w:tcMar>
            <w:vAlign w:val="center"/>
          </w:tcPr>
          <w:p>
            <w:pPr>
              <w:pStyle w:val="TableContents"/>
              <w:bidi w:val="0"/>
              <w:spacing w:before="0" w:after="283"/>
              <w:jc w:val="left"/>
              <w:rPr/>
            </w:pPr>
            <w:r>
              <w:rPr/>
              <w:t> </w:t>
            </w:r>
          </w:p>
        </w:tc>
        <w:tc>
          <w:tcPr>
            <w:tcW w:w="737"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5" w:type="dxa"/>
            <w:gridSpan w:val="5"/>
            <w:tcBorders/>
            <w:shd w:fill="CCEEFF" w:val="clear"/>
            <w:tcMar>
              <w:bottom w:w="0" w:type="dxa"/>
            </w:tcMar>
            <w:vAlign w:val="center"/>
          </w:tcPr>
          <w:p>
            <w:pPr>
              <w:pStyle w:val="TableContents"/>
              <w:bidi w:val="0"/>
              <w:spacing w:before="0" w:after="283"/>
              <w:jc w:val="left"/>
              <w:rPr>
                <w:b/>
              </w:rPr>
            </w:pPr>
            <w:r>
              <w:rPr>
                <w:b/>
              </w:rPr>
              <w:t>Total Investments, March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299,986,930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323,412,156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295,810,691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3" w:type="dxa"/>
            <w:tcBorders>
              <w:bottom w:val="double" w:sz="10" w:space="0" w:color="000000"/>
            </w:tcBorders>
            <w:shd w:fill="CCEEFF" w:val="clear"/>
            <w:vAlign w:val="center"/>
          </w:tcPr>
          <w:p>
            <w:pPr>
              <w:pStyle w:val="TableContents"/>
              <w:bidi w:val="0"/>
              <w:spacing w:before="0" w:after="283"/>
              <w:jc w:val="left"/>
              <w:rPr/>
            </w:pPr>
            <w:r>
              <w:rPr/>
              <w:t> </w:t>
            </w:r>
          </w:p>
        </w:tc>
        <w:tc>
          <w:tcPr>
            <w:tcW w:w="737" w:type="dxa"/>
            <w:tcBorders>
              <w:bottom w:val="double" w:sz="10" w:space="0" w:color="000000"/>
            </w:tcBorders>
            <w:shd w:fill="CCEEFF" w:val="clear"/>
            <w:vAlign w:val="center"/>
          </w:tcPr>
          <w:p>
            <w:pPr>
              <w:pStyle w:val="TableContents"/>
              <w:bidi w:val="0"/>
              <w:spacing w:before="0" w:after="283"/>
              <w:jc w:val="right"/>
              <w:rPr>
                <w:b/>
              </w:rPr>
            </w:pPr>
            <w:r>
              <w:rPr>
                <w:b/>
              </w:rPr>
              <w:t>192.32</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osition w:val="8"/>
                <w:sz w:val="19"/>
              </w:rPr>
            </w:pPr>
            <w:r>
              <w:rPr>
                <w:position w:val="8"/>
                <w:sz w:val="19"/>
              </w:rPr>
              <w:t>(1)</w:t>
            </w:r>
          </w:p>
        </w:tc>
        <w:tc>
          <w:tcPr>
            <w:tcW w:w="9874" w:type="dxa"/>
            <w:tcBorders/>
            <w:vAlign w:val="center"/>
          </w:tcPr>
          <w:p>
            <w:pPr>
              <w:pStyle w:val="TableContents"/>
              <w:bidi w:val="0"/>
              <w:spacing w:before="0" w:after="283"/>
              <w:jc w:val="both"/>
              <w:rPr/>
            </w:pPr>
            <w:r>
              <w:rPr/>
              <w:t>Substantially all of our investments are domiciled in the United States. Certain investments also have international operations.</w:t>
            </w:r>
          </w:p>
        </w:tc>
      </w:tr>
    </w:tbl>
    <w:tbl>
      <w:tblPr>
        <w:tblW w:w="10205" w:type="dxa"/>
        <w:jc w:val="left"/>
        <w:tblInd w:w="0" w:type="dxa"/>
        <w:tblLayout w:type="fixed"/>
        <w:tblCellMar>
          <w:top w:w="0" w:type="dxa"/>
          <w:left w:w="0" w:type="dxa"/>
          <w:bottom w:w="0" w:type="dxa"/>
          <w:right w:w="0" w:type="dxa"/>
        </w:tblCellMar>
      </w:tblPr>
      <w:tblGrid>
        <w:gridCol w:w="68"/>
        <w:gridCol w:w="232"/>
        <w:gridCol w:w="9905"/>
      </w:tblGrid>
      <w:tr>
        <w:trPr/>
        <w:tc>
          <w:tcPr>
            <w:tcW w:w="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osition w:val="8"/>
                <w:sz w:val="19"/>
              </w:rPr>
            </w:pPr>
            <w:r>
              <w:rPr>
                <w:position w:val="8"/>
                <w:sz w:val="19"/>
              </w:rPr>
              <w:t>(2)</w:t>
            </w:r>
          </w:p>
        </w:tc>
        <w:tc>
          <w:tcPr>
            <w:tcW w:w="9905" w:type="dxa"/>
            <w:tcBorders/>
            <w:vAlign w:val="center"/>
          </w:tcPr>
          <w:p>
            <w:pPr>
              <w:pStyle w:val="TableContents"/>
              <w:bidi w:val="0"/>
              <w:spacing w:before="0" w:after="283"/>
              <w:jc w:val="both"/>
              <w:rPr/>
            </w:pPr>
            <w:r>
              <w:rPr/>
              <w:t>Par amount is presented for debt investments and the amount includes accumulated payment-in-kind (“PIK”) interest, as applicable, and is net of repayments, while the number of shares or units owned is presented for equity investments. Par amount is denominated in U.S. Dollars (“$”) unless otherwise noted.</w:t>
            </w:r>
          </w:p>
        </w:tc>
      </w:tr>
    </w:tbl>
    <w:tbl>
      <w:tblPr>
        <w:tblW w:w="7503" w:type="dxa"/>
        <w:jc w:val="left"/>
        <w:tblInd w:w="0" w:type="dxa"/>
        <w:tblLayout w:type="fixed"/>
        <w:tblCellMar>
          <w:top w:w="0" w:type="dxa"/>
          <w:left w:w="0" w:type="dxa"/>
          <w:bottom w:w="0" w:type="dxa"/>
          <w:right w:w="0" w:type="dxa"/>
        </w:tblCellMar>
      </w:tblPr>
      <w:tblGrid>
        <w:gridCol w:w="68"/>
        <w:gridCol w:w="275"/>
        <w:gridCol w:w="716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(3)</w:t>
            </w:r>
          </w:p>
        </w:tc>
        <w:tc>
          <w:tcPr>
            <w:tcW w:w="71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depreciation for U.S. federal income tax purposes totaled $(27,601,465).</w:t>
            </w:r>
          </w:p>
        </w:tc>
      </w:tr>
    </w:tbl>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cost basis of investments is $323,412,156 as of March 31, 2026.</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represents the original cost adjusted for the amortization or accretion of premium or discount, as applicable, on debt investments using the effective interest method.</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osition w:val="8"/>
                <w:sz w:val="19"/>
              </w:rPr>
            </w:pPr>
            <w:r>
              <w:rPr>
                <w:position w:val="8"/>
                <w:sz w:val="19"/>
              </w:rPr>
              <w:t>(4)</w:t>
            </w:r>
          </w:p>
        </w:tc>
        <w:tc>
          <w:tcPr>
            <w:tcW w:w="9893" w:type="dxa"/>
            <w:tcBorders/>
            <w:vAlign w:val="center"/>
          </w:tcPr>
          <w:p>
            <w:pPr>
              <w:pStyle w:val="TableContents"/>
              <w:bidi w:val="0"/>
              <w:spacing w:before="0" w:after="283"/>
              <w:jc w:val="both"/>
              <w:rPr/>
            </w:pPr>
            <w:r>
              <w:rPr/>
              <w:t>Unless otherwise indicated, all securities are valued using significant unobservable inputs, which are categorized as Level 3 assets under the definition of ASC 820 fair value hierarchy (see Note 4).</w:t>
            </w:r>
          </w:p>
        </w:tc>
      </w:tr>
    </w:tbl>
    <w:tbl>
      <w:tblPr>
        <w:tblW w:w="7308" w:type="dxa"/>
        <w:jc w:val="left"/>
        <w:tblInd w:w="0" w:type="dxa"/>
        <w:tblLayout w:type="fixed"/>
        <w:tblCellMar>
          <w:top w:w="0" w:type="dxa"/>
          <w:left w:w="0" w:type="dxa"/>
          <w:bottom w:w="0" w:type="dxa"/>
          <w:right w:w="0" w:type="dxa"/>
        </w:tblCellMar>
      </w:tblPr>
      <w:tblGrid>
        <w:gridCol w:w="68"/>
        <w:gridCol w:w="275"/>
        <w:gridCol w:w="696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(5)</w:t>
            </w:r>
          </w:p>
        </w:tc>
        <w:tc>
          <w:tcPr>
            <w:tcW w:w="6965" w:type="dxa"/>
            <w:tcBorders/>
            <w:vAlign w:val="center"/>
          </w:tcPr>
          <w:p>
            <w:pPr>
              <w:pStyle w:val="TableContents"/>
              <w:bidi w:val="0"/>
              <w:spacing w:before="0" w:after="283"/>
              <w:jc w:val="both"/>
              <w:rPr/>
            </w:pPr>
            <w:r>
              <w:rPr/>
              <w:t>Percentage is based on net assets of $153,811,704 as of March 31, 2026.</w:t>
            </w:r>
          </w:p>
        </w:tc>
      </w:tr>
    </w:tbl>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osition w:val="8"/>
                <w:sz w:val="19"/>
              </w:rPr>
            </w:pPr>
            <w:r>
              <w:rPr>
                <w:position w:val="8"/>
                <w:sz w:val="19"/>
              </w:rPr>
              <w:t>(6)</w:t>
            </w:r>
          </w:p>
        </w:tc>
        <w:tc>
          <w:tcPr>
            <w:tcW w:w="9896" w:type="dxa"/>
            <w:tcBorders/>
            <w:vAlign w:val="center"/>
          </w:tcPr>
          <w:p>
            <w:pPr>
              <w:pStyle w:val="TableContents"/>
              <w:bidi w:val="0"/>
              <w:spacing w:before="0" w:after="283"/>
              <w:jc w:val="both"/>
              <w:rPr/>
            </w:pPr>
            <w:r>
              <w:rPr/>
              <w:t>Affiliated Investments are defined by the 1940 Act as investments in companies in which the Company owns between 5% and 25% outstanding voting securities or is under common control with such portfolio company.</w:t>
            </w:r>
          </w:p>
        </w:tc>
      </w:tr>
    </w:tbl>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osition w:val="8"/>
                <w:sz w:val="19"/>
              </w:rPr>
            </w:pPr>
            <w:r>
              <w:rPr>
                <w:position w:val="8"/>
                <w:sz w:val="19"/>
              </w:rPr>
              <w:t>(7)</w:t>
            </w:r>
          </w:p>
        </w:tc>
        <w:tc>
          <w:tcPr>
            <w:tcW w:w="9901" w:type="dxa"/>
            <w:tcBorders/>
            <w:vAlign w:val="center"/>
          </w:tcPr>
          <w:p>
            <w:pPr>
              <w:pStyle w:val="TableContents"/>
              <w:bidi w:val="0"/>
              <w:spacing w:before="0" w:after="283"/>
              <w:jc w:val="both"/>
              <w:rPr/>
            </w:pPr>
            <w:r>
              <w:rPr/>
              <w:t>Control Investments are defined by the Investment Company Act of 1940, as amended (the “1940 Act”), as investments in companies in which the Company owns more than 25% of the voting securities or maintains greater than 50% of the board representation.</w:t>
            </w:r>
          </w:p>
        </w:tc>
      </w:tr>
    </w:tbl>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osition w:val="8"/>
                <w:sz w:val="19"/>
              </w:rPr>
            </w:pPr>
            <w:r>
              <w:rPr>
                <w:position w:val="8"/>
                <w:sz w:val="19"/>
              </w:rPr>
              <w:t>(8)</w:t>
            </w:r>
          </w:p>
        </w:tc>
        <w:tc>
          <w:tcPr>
            <w:tcW w:w="9907" w:type="dxa"/>
            <w:tcBorders/>
            <w:vAlign w:val="center"/>
          </w:tcPr>
          <w:p>
            <w:pPr>
              <w:pStyle w:val="TableContents"/>
              <w:bidi w:val="0"/>
              <w:spacing w:before="0" w:after="283"/>
              <w:jc w:val="both"/>
              <w:rPr/>
            </w:pPr>
            <w:r>
              <w:rPr/>
              <w:t>The investment has an unfunded commitment as of March 31, 2026 (see Note 8), and fair value includes the value of any unfunded commitments. The negative cost, if applicable, is the result of the capitalized discount being greater than the principal amount outstanding on the loan. The negative fair value, if applicable, is the result of the capitalized discount on the loan.</w:t>
            </w:r>
          </w:p>
        </w:tc>
      </w:tr>
    </w:tbl>
    <w:tbl>
      <w:tblPr>
        <w:tblW w:w="8853" w:type="dxa"/>
        <w:jc w:val="left"/>
        <w:tblInd w:w="0" w:type="dxa"/>
        <w:tblLayout w:type="fixed"/>
        <w:tblCellMar>
          <w:top w:w="0" w:type="dxa"/>
          <w:left w:w="0" w:type="dxa"/>
          <w:bottom w:w="0" w:type="dxa"/>
          <w:right w:w="0" w:type="dxa"/>
        </w:tblCellMar>
      </w:tblPr>
      <w:tblGrid>
        <w:gridCol w:w="68"/>
        <w:gridCol w:w="275"/>
        <w:gridCol w:w="851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(9)</w:t>
            </w:r>
          </w:p>
        </w:tc>
        <w:tc>
          <w:tcPr>
            <w:tcW w:w="8510" w:type="dxa"/>
            <w:tcBorders/>
            <w:vAlign w:val="center"/>
          </w:tcPr>
          <w:p>
            <w:pPr>
              <w:pStyle w:val="TableContents"/>
              <w:bidi w:val="0"/>
              <w:spacing w:before="0" w:after="283"/>
              <w:jc w:val="both"/>
              <w:rPr/>
            </w:pPr>
            <w:r>
              <w:rPr/>
              <w:t>NSG Captive, Inc. owns approximately 86.7% of National Security Group Holdings Inc.</w:t>
            </w:r>
          </w:p>
        </w:tc>
      </w:tr>
    </w:tbl>
    <w:tbl>
      <w:tblPr>
        <w:tblW w:w="6633" w:type="dxa"/>
        <w:jc w:val="left"/>
        <w:tblInd w:w="0" w:type="dxa"/>
        <w:tblLayout w:type="fixed"/>
        <w:tblCellMar>
          <w:top w:w="0" w:type="dxa"/>
          <w:left w:w="0" w:type="dxa"/>
          <w:bottom w:w="0" w:type="dxa"/>
          <w:right w:w="0" w:type="dxa"/>
        </w:tblCellMar>
      </w:tblPr>
      <w:tblGrid>
        <w:gridCol w:w="68"/>
        <w:gridCol w:w="380"/>
        <w:gridCol w:w="618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(10)</w:t>
            </w:r>
          </w:p>
        </w:tc>
        <w:tc>
          <w:tcPr>
            <w:tcW w:w="6185" w:type="dxa"/>
            <w:tcBorders/>
            <w:vAlign w:val="center"/>
          </w:tcPr>
          <w:p>
            <w:pPr>
              <w:pStyle w:val="TableContents"/>
              <w:bidi w:val="0"/>
              <w:spacing w:before="0" w:after="283"/>
              <w:jc w:val="both"/>
              <w:rPr/>
            </w:pPr>
            <w:r>
              <w:rPr/>
              <w:t>The investment was on non-accrual status as of March 31, 2026.</w:t>
            </w:r>
          </w:p>
        </w:tc>
      </w:tr>
    </w:tbl>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osition w:val="8"/>
                <w:sz w:val="19"/>
              </w:rPr>
            </w:pPr>
            <w:r>
              <w:rPr>
                <w:position w:val="8"/>
                <w:sz w:val="19"/>
              </w:rPr>
              <w:t>(11)</w:t>
            </w:r>
          </w:p>
        </w:tc>
        <w:tc>
          <w:tcPr>
            <w:tcW w:w="9787" w:type="dxa"/>
            <w:tcBorders/>
            <w:vAlign w:val="center"/>
          </w:tcPr>
          <w:p>
            <w:pPr>
              <w:pStyle w:val="TableContents"/>
              <w:bidi w:val="0"/>
              <w:spacing w:before="0" w:after="283"/>
              <w:jc w:val="both"/>
              <w:rPr/>
            </w:pPr>
            <w:r>
              <w:rPr/>
              <w:t>The investment is not a qualifying asset as defined under Section 55(a) of the 1940 Act, in whole, or in part. As of March 31, 2026, non-qualifying assets represented 11.16% of total assets.</w:t>
            </w:r>
          </w:p>
        </w:tc>
      </w:tr>
    </w:tbl>
    <w:tbl>
      <w:tblPr>
        <w:tblW w:w="10205" w:type="dxa"/>
        <w:jc w:val="left"/>
        <w:tblInd w:w="0" w:type="dxa"/>
        <w:tblLayout w:type="fixed"/>
        <w:tblCellMar>
          <w:top w:w="0" w:type="dxa"/>
          <w:left w:w="0" w:type="dxa"/>
          <w:bottom w:w="0" w:type="dxa"/>
          <w:right w:w="0" w:type="dxa"/>
        </w:tblCellMar>
      </w:tblPr>
      <w:tblGrid>
        <w:gridCol w:w="68"/>
        <w:gridCol w:w="349"/>
        <w:gridCol w:w="9788"/>
      </w:tblGrid>
      <w:tr>
        <w:trPr/>
        <w:tc>
          <w:tcPr>
            <w:tcW w:w="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osition w:val="8"/>
                <w:sz w:val="19"/>
              </w:rPr>
            </w:pPr>
            <w:r>
              <w:rPr>
                <w:position w:val="8"/>
                <w:sz w:val="19"/>
              </w:rPr>
              <w:t>(12)</w:t>
            </w:r>
          </w:p>
        </w:tc>
        <w:tc>
          <w:tcPr>
            <w:tcW w:w="9788" w:type="dxa"/>
            <w:tcBorders/>
            <w:vAlign w:val="center"/>
          </w:tcPr>
          <w:p>
            <w:pPr>
              <w:pStyle w:val="TableContents"/>
              <w:bidi w:val="0"/>
              <w:spacing w:before="0" w:after="283"/>
              <w:jc w:val="both"/>
              <w:rPr/>
            </w:pPr>
            <w:r>
              <w:rPr/>
              <w:t>This investment earns 0.50% commitment fee on all unused commitments as of March 31, 2026, and is recorded as a component of interest income on the Consolidated Statements of Operations.</w:t>
            </w:r>
          </w:p>
        </w:tc>
      </w:tr>
    </w:tbl>
    <w:tbl>
      <w:tblPr>
        <w:tblW w:w="10203" w:type="dxa"/>
        <w:jc w:val="left"/>
        <w:tblInd w:w="0" w:type="dxa"/>
        <w:tblLayout w:type="fixed"/>
        <w:tblCellMar>
          <w:top w:w="0" w:type="dxa"/>
          <w:left w:w="0" w:type="dxa"/>
          <w:bottom w:w="0" w:type="dxa"/>
          <w:right w:w="0" w:type="dxa"/>
        </w:tblCellMar>
      </w:tblPr>
      <w:tblGrid>
        <w:gridCol w:w="68"/>
        <w:gridCol w:w="38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(13)</w:t>
            </w:r>
          </w:p>
        </w:tc>
        <w:tc>
          <w:tcPr>
            <w:tcW w:w="9755" w:type="dxa"/>
            <w:tcBorders/>
            <w:vAlign w:val="center"/>
          </w:tcPr>
          <w:p>
            <w:pPr>
              <w:pStyle w:val="TableContents"/>
              <w:bidi w:val="0"/>
              <w:spacing w:before="0" w:after="283"/>
              <w:jc w:val="both"/>
              <w:rPr/>
            </w:pPr>
            <w:r>
              <w:rPr/>
              <w:t>This investment represents a Level 1 security in the ASC 820 table as of March 31, 2026 (see Note 4).</w:t>
            </w:r>
          </w:p>
        </w:tc>
      </w:tr>
    </w:tbl>
    <w:tbl>
      <w:tblPr>
        <w:tblW w:w="10203" w:type="dxa"/>
        <w:jc w:val="left"/>
        <w:tblInd w:w="0" w:type="dxa"/>
        <w:tblLayout w:type="fixed"/>
        <w:tblCellMar>
          <w:top w:w="0" w:type="dxa"/>
          <w:left w:w="0" w:type="dxa"/>
          <w:bottom w:w="0" w:type="dxa"/>
          <w:right w:w="0" w:type="dxa"/>
        </w:tblCellMar>
      </w:tblPr>
      <w:tblGrid>
        <w:gridCol w:w="68"/>
        <w:gridCol w:w="380"/>
        <w:gridCol w:w="975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(14)</w:t>
            </w:r>
          </w:p>
        </w:tc>
        <w:tc>
          <w:tcPr>
            <w:tcW w:w="9755" w:type="dxa"/>
            <w:tcBorders/>
            <w:vAlign w:val="center"/>
          </w:tcPr>
          <w:p>
            <w:pPr>
              <w:pStyle w:val="TableContents"/>
              <w:bidi w:val="0"/>
              <w:spacing w:before="0" w:after="283"/>
              <w:jc w:val="both"/>
              <w:rPr/>
            </w:pPr>
            <w:r>
              <w:rPr/>
              <w:t>This investment represents a Level 2 security in the ASC 820 table as of March 31, 2026 (see Note 4).</w:t>
            </w:r>
          </w:p>
        </w:tc>
      </w:tr>
    </w:tbl>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osition w:val="8"/>
                <w:sz w:val="19"/>
              </w:rPr>
            </w:pPr>
            <w:r>
              <w:rPr>
                <w:position w:val="8"/>
                <w:sz w:val="19"/>
              </w:rPr>
              <w:t>(15)</w:t>
            </w:r>
          </w:p>
        </w:tc>
        <w:tc>
          <w:tcPr>
            <w:tcW w:w="9779" w:type="dxa"/>
            <w:tcBorders/>
            <w:vAlign w:val="center"/>
          </w:tcPr>
          <w:p>
            <w:pPr>
              <w:pStyle w:val="TableContents"/>
              <w:bidi w:val="0"/>
              <w:spacing w:before="0" w:after="283"/>
              <w:jc w:val="both"/>
              <w:rPr/>
            </w:pPr>
            <w:r>
              <w:rPr/>
              <w:t>The interest rate on this preferred equity is fixed-to-floating and shifted to 3 month SOFR plus a CSA of 0.262% plus a 4.743% spread on 9/30/2025.</w:t>
            </w:r>
          </w:p>
        </w:tc>
      </w:tr>
    </w:tbl>
    <w:tbl>
      <w:tblPr>
        <w:tblW w:w="1578" w:type="dxa"/>
        <w:jc w:val="left"/>
        <w:tblInd w:w="0" w:type="dxa"/>
        <w:tblLayout w:type="fixed"/>
        <w:tblCellMar>
          <w:top w:w="0" w:type="dxa"/>
          <w:left w:w="0" w:type="dxa"/>
          <w:bottom w:w="0" w:type="dxa"/>
          <w:right w:w="0" w:type="dxa"/>
        </w:tblCellMar>
      </w:tblPr>
      <w:tblGrid>
        <w:gridCol w:w="68"/>
        <w:gridCol w:w="380"/>
        <w:gridCol w:w="11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(16)</w:t>
            </w:r>
          </w:p>
        </w:tc>
        <w:tc>
          <w:tcPr>
            <w:tcW w:w="1130" w:type="dxa"/>
            <w:tcBorders/>
            <w:vAlign w:val="center"/>
          </w:tcPr>
          <w:p>
            <w:pPr>
              <w:pStyle w:val="TableContents"/>
              <w:bidi w:val="0"/>
              <w:spacing w:before="0" w:after="283"/>
              <w:jc w:val="both"/>
              <w:rPr/>
            </w:pPr>
            <w:r>
              <w:rPr/>
              <w:t>Not in use.</w:t>
            </w:r>
          </w:p>
        </w:tc>
      </w:tr>
    </w:tbl>
    <w:tbl>
      <w:tblPr>
        <w:tblW w:w="7728" w:type="dxa"/>
        <w:jc w:val="left"/>
        <w:tblInd w:w="0" w:type="dxa"/>
        <w:tblLayout w:type="fixed"/>
        <w:tblCellMar>
          <w:top w:w="0" w:type="dxa"/>
          <w:left w:w="0" w:type="dxa"/>
          <w:bottom w:w="0" w:type="dxa"/>
          <w:right w:w="0" w:type="dxa"/>
        </w:tblCellMar>
      </w:tblPr>
      <w:tblGrid>
        <w:gridCol w:w="68"/>
        <w:gridCol w:w="380"/>
        <w:gridCol w:w="728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(17)</w:t>
            </w:r>
          </w:p>
        </w:tc>
        <w:tc>
          <w:tcPr>
            <w:tcW w:w="7280" w:type="dxa"/>
            <w:tcBorders/>
            <w:vAlign w:val="center"/>
          </w:tcPr>
          <w:p>
            <w:pPr>
              <w:pStyle w:val="TableContents"/>
              <w:bidi w:val="0"/>
              <w:spacing w:before="0" w:after="283"/>
              <w:jc w:val="both"/>
              <w:rPr/>
            </w:pPr>
            <w:r>
              <w:rPr/>
              <w:t>The investment is held through PhenixFIN Investment Holdings FST, LLC.</w:t>
            </w:r>
          </w:p>
        </w:tc>
      </w:tr>
    </w:tbl>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osition w:val="8"/>
                <w:sz w:val="19"/>
              </w:rPr>
            </w:pPr>
            <w:r>
              <w:rPr>
                <w:position w:val="8"/>
                <w:sz w:val="19"/>
              </w:rPr>
              <w:t>(18)</w:t>
            </w:r>
          </w:p>
        </w:tc>
        <w:tc>
          <w:tcPr>
            <w:tcW w:w="9779" w:type="dxa"/>
            <w:tcBorders/>
            <w:vAlign w:val="center"/>
          </w:tcPr>
          <w:p>
            <w:pPr>
              <w:pStyle w:val="TableContents"/>
              <w:bidi w:val="0"/>
              <w:spacing w:before="0" w:after="283"/>
              <w:jc w:val="both"/>
              <w:rPr/>
            </w:pPr>
            <w:r>
              <w:rPr/>
              <w:t>The interest rate on this preferred equity is fixed-to-floating and will shift to 3 month SOFR plus a CSA of 0.262% plus a 6.130% spread on 10/15/2026.</w:t>
            </w:r>
          </w:p>
        </w:tc>
      </w:tr>
    </w:tbl>
    <w:tbl>
      <w:tblPr>
        <w:tblW w:w="1578" w:type="dxa"/>
        <w:jc w:val="left"/>
        <w:tblInd w:w="0" w:type="dxa"/>
        <w:tblLayout w:type="fixed"/>
        <w:tblCellMar>
          <w:top w:w="0" w:type="dxa"/>
          <w:left w:w="0" w:type="dxa"/>
          <w:bottom w:w="0" w:type="dxa"/>
          <w:right w:w="0" w:type="dxa"/>
        </w:tblCellMar>
      </w:tblPr>
      <w:tblGrid>
        <w:gridCol w:w="68"/>
        <w:gridCol w:w="380"/>
        <w:gridCol w:w="11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(19)</w:t>
            </w:r>
          </w:p>
        </w:tc>
        <w:tc>
          <w:tcPr>
            <w:tcW w:w="1130" w:type="dxa"/>
            <w:tcBorders/>
            <w:vAlign w:val="center"/>
          </w:tcPr>
          <w:p>
            <w:pPr>
              <w:pStyle w:val="TableContents"/>
              <w:bidi w:val="0"/>
              <w:spacing w:before="0" w:after="283"/>
              <w:jc w:val="both"/>
              <w:rPr/>
            </w:pPr>
            <w:r>
              <w:rPr/>
              <w:t>Not in use.</w:t>
            </w:r>
          </w:p>
        </w:tc>
      </w:tr>
    </w:tbl>
    <w:tbl>
      <w:tblPr>
        <w:tblW w:w="3963" w:type="dxa"/>
        <w:jc w:val="left"/>
        <w:tblInd w:w="0" w:type="dxa"/>
        <w:tblLayout w:type="fixed"/>
        <w:tblCellMar>
          <w:top w:w="0" w:type="dxa"/>
          <w:left w:w="0" w:type="dxa"/>
          <w:bottom w:w="0" w:type="dxa"/>
          <w:right w:w="0" w:type="dxa"/>
        </w:tblCellMar>
      </w:tblPr>
      <w:tblGrid>
        <w:gridCol w:w="68"/>
        <w:gridCol w:w="380"/>
        <w:gridCol w:w="351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(20)</w:t>
            </w:r>
          </w:p>
        </w:tc>
        <w:tc>
          <w:tcPr>
            <w:tcW w:w="3515" w:type="dxa"/>
            <w:tcBorders/>
            <w:vAlign w:val="center"/>
          </w:tcPr>
          <w:p>
            <w:pPr>
              <w:pStyle w:val="TableContents"/>
              <w:bidi w:val="0"/>
              <w:spacing w:before="0" w:after="283"/>
              <w:jc w:val="both"/>
              <w:rPr/>
            </w:pPr>
            <w:r>
              <w:rPr/>
              <w:t>Credit Spread Adjustment (“CSA”).</w:t>
            </w:r>
          </w:p>
        </w:tc>
      </w:tr>
    </w:tbl>
    <w:tbl>
      <w:tblPr>
        <w:tblW w:w="3603" w:type="dxa"/>
        <w:jc w:val="left"/>
        <w:tblInd w:w="0" w:type="dxa"/>
        <w:tblLayout w:type="fixed"/>
        <w:tblCellMar>
          <w:top w:w="0" w:type="dxa"/>
          <w:left w:w="0" w:type="dxa"/>
          <w:bottom w:w="0" w:type="dxa"/>
          <w:right w:w="0" w:type="dxa"/>
        </w:tblCellMar>
      </w:tblPr>
      <w:tblGrid>
        <w:gridCol w:w="68"/>
        <w:gridCol w:w="38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(21)</w:t>
            </w:r>
          </w:p>
        </w:tc>
        <w:tc>
          <w:tcPr>
            <w:tcW w:w="3155" w:type="dxa"/>
            <w:tcBorders/>
            <w:vAlign w:val="center"/>
          </w:tcPr>
          <w:p>
            <w:pPr>
              <w:pStyle w:val="TableContents"/>
              <w:bidi w:val="0"/>
              <w:spacing w:before="0" w:after="283"/>
              <w:jc w:val="both"/>
              <w:rPr/>
            </w:pPr>
            <w:r>
              <w:rPr/>
              <w:t>Non-income producing security.</w:t>
            </w:r>
          </w:p>
        </w:tc>
      </w:tr>
    </w:tbl>
    <w:tbl>
      <w:tblPr>
        <w:tblW w:w="6378" w:type="dxa"/>
        <w:jc w:val="left"/>
        <w:tblInd w:w="0" w:type="dxa"/>
        <w:tblLayout w:type="fixed"/>
        <w:tblCellMar>
          <w:top w:w="0" w:type="dxa"/>
          <w:left w:w="0" w:type="dxa"/>
          <w:bottom w:w="0" w:type="dxa"/>
          <w:right w:w="0" w:type="dxa"/>
        </w:tblCellMar>
      </w:tblPr>
      <w:tblGrid>
        <w:gridCol w:w="68"/>
        <w:gridCol w:w="380"/>
        <w:gridCol w:w="59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(22)</w:t>
            </w:r>
          </w:p>
        </w:tc>
        <w:tc>
          <w:tcPr>
            <w:tcW w:w="5930" w:type="dxa"/>
            <w:tcBorders/>
            <w:vAlign w:val="center"/>
          </w:tcPr>
          <w:p>
            <w:pPr>
              <w:pStyle w:val="TableContents"/>
              <w:bidi w:val="0"/>
              <w:spacing w:before="0" w:after="283"/>
              <w:jc w:val="both"/>
              <w:rPr/>
            </w:pPr>
            <w:r>
              <w:rPr/>
              <w:t>The investment is valued using NAV as a practical expedient.</w:t>
            </w:r>
          </w:p>
        </w:tc>
      </w:tr>
    </w:tbl>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osition w:val="8"/>
                <w:sz w:val="19"/>
              </w:rPr>
            </w:pPr>
            <w:r>
              <w:rPr>
                <w:position w:val="8"/>
                <w:sz w:val="19"/>
              </w:rPr>
              <w:t>(23)</w:t>
            </w:r>
          </w:p>
        </w:tc>
        <w:tc>
          <w:tcPr>
            <w:tcW w:w="9760" w:type="dxa"/>
            <w:tcBorders/>
            <w:vAlign w:val="center"/>
          </w:tcPr>
          <w:p>
            <w:pPr>
              <w:pStyle w:val="TableContents"/>
              <w:bidi w:val="0"/>
              <w:spacing w:before="0" w:after="283"/>
              <w:jc w:val="both"/>
              <w:rPr/>
            </w:pPr>
            <w:r>
              <w:rPr/>
              <w:t>The interest rate on these securities  is subject to 1 month SOFR, which as of March 31, 2026 was 3.66%.</w:t>
            </w:r>
          </w:p>
        </w:tc>
      </w:tr>
    </w:tbl>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osition w:val="8"/>
                <w:sz w:val="19"/>
              </w:rPr>
            </w:pPr>
            <w:r>
              <w:rPr>
                <w:position w:val="8"/>
                <w:sz w:val="19"/>
              </w:rPr>
              <w:t>(24)</w:t>
            </w:r>
          </w:p>
        </w:tc>
        <w:tc>
          <w:tcPr>
            <w:tcW w:w="9760" w:type="dxa"/>
            <w:tcBorders/>
            <w:vAlign w:val="center"/>
          </w:tcPr>
          <w:p>
            <w:pPr>
              <w:pStyle w:val="TableContents"/>
              <w:bidi w:val="0"/>
              <w:spacing w:before="0" w:after="283"/>
              <w:jc w:val="both"/>
              <w:rPr/>
            </w:pPr>
            <w:r>
              <w:rPr/>
              <w:t>The interest rate on these securities is subject to 3 month SOFR, which as of  March 31, 2026  was 3.68%.</w:t>
            </w:r>
          </w:p>
        </w:tc>
      </w:tr>
    </w:tbl>
    <w:tbl>
      <w:tblPr>
        <w:tblW w:w="10205" w:type="dxa"/>
        <w:jc w:val="left"/>
        <w:tblInd w:w="0" w:type="dxa"/>
        <w:tblLayout w:type="fixed"/>
        <w:tblCellMar>
          <w:top w:w="0" w:type="dxa"/>
          <w:left w:w="0" w:type="dxa"/>
          <w:bottom w:w="0" w:type="dxa"/>
          <w:right w:w="0" w:type="dxa"/>
        </w:tblCellMar>
      </w:tblPr>
      <w:tblGrid>
        <w:gridCol w:w="68"/>
        <w:gridCol w:w="378"/>
        <w:gridCol w:w="9759"/>
      </w:tblGrid>
      <w:tr>
        <w:trPr/>
        <w:tc>
          <w:tcPr>
            <w:tcW w:w="6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osition w:val="8"/>
                <w:sz w:val="19"/>
              </w:rPr>
            </w:pPr>
            <w:r>
              <w:rPr>
                <w:position w:val="8"/>
                <w:sz w:val="19"/>
              </w:rPr>
              <w:t>(25)</w:t>
            </w:r>
          </w:p>
        </w:tc>
        <w:tc>
          <w:tcPr>
            <w:tcW w:w="9759" w:type="dxa"/>
            <w:tcBorders/>
            <w:vAlign w:val="center"/>
          </w:tcPr>
          <w:p>
            <w:pPr>
              <w:pStyle w:val="TableContents"/>
              <w:bidi w:val="0"/>
              <w:spacing w:before="0" w:after="283"/>
              <w:jc w:val="both"/>
              <w:rPr/>
            </w:pPr>
            <w:r>
              <w:rPr/>
              <w:t>The interest rate on these securities is subject to 6 month SOFR, which as of March 31, 2026 was 3.70%.</w:t>
            </w:r>
          </w:p>
        </w:tc>
      </w:tr>
    </w:tbl>
    <w:tbl>
      <w:tblPr>
        <w:tblW w:w="10205" w:type="dxa"/>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osition w:val="8"/>
                <w:sz w:val="19"/>
              </w:rPr>
            </w:pPr>
            <w:r>
              <w:rPr>
                <w:position w:val="8"/>
                <w:sz w:val="19"/>
              </w:rPr>
              <w:t>(26)</w:t>
            </w:r>
          </w:p>
        </w:tc>
        <w:tc>
          <w:tcPr>
            <w:tcW w:w="9774" w:type="dxa"/>
            <w:tcBorders/>
            <w:vAlign w:val="center"/>
          </w:tcPr>
          <w:p>
            <w:pPr>
              <w:pStyle w:val="TableContents"/>
              <w:bidi w:val="0"/>
              <w:spacing w:before="0" w:after="283"/>
              <w:jc w:val="both"/>
              <w:rPr/>
            </w:pPr>
            <w:r>
              <w:rPr/>
              <w:t>The interest rate on these securities is subject to the quarterly Applicable Federal Rate, (“AFR”), which as of  March 31, 2026  was 3.54%.</w:t>
            </w:r>
          </w:p>
        </w:tc>
      </w:tr>
    </w:tbl>
    <w:tbl>
      <w:tblPr>
        <w:tblW w:w="10205" w:type="dxa"/>
        <w:jc w:val="left"/>
        <w:tblInd w:w="0" w:type="dxa"/>
        <w:tblLayout w:type="fixed"/>
        <w:tblCellMar>
          <w:top w:w="0" w:type="dxa"/>
          <w:left w:w="0" w:type="dxa"/>
          <w:bottom w:w="0" w:type="dxa"/>
          <w:right w:w="0" w:type="dxa"/>
        </w:tblCellMar>
      </w:tblPr>
      <w:tblGrid>
        <w:gridCol w:w="68"/>
        <w:gridCol w:w="366"/>
        <w:gridCol w:w="9771"/>
      </w:tblGrid>
      <w:tr>
        <w:trPr/>
        <w:tc>
          <w:tcPr>
            <w:tcW w:w="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osition w:val="8"/>
                <w:sz w:val="19"/>
              </w:rPr>
            </w:pPr>
            <w:r>
              <w:rPr>
                <w:position w:val="8"/>
                <w:sz w:val="19"/>
              </w:rPr>
              <w:t>(27)</w:t>
            </w:r>
          </w:p>
        </w:tc>
        <w:tc>
          <w:tcPr>
            <w:tcW w:w="9771" w:type="dxa"/>
            <w:tcBorders/>
            <w:vAlign w:val="center"/>
          </w:tcPr>
          <w:p>
            <w:pPr>
              <w:pStyle w:val="TableContents"/>
              <w:bidi w:val="0"/>
              <w:spacing w:before="0" w:after="283"/>
              <w:jc w:val="both"/>
              <w:rPr/>
            </w:pPr>
            <w:r>
              <w:rPr/>
              <w:t>The investment includes an exit fee that is receivable upon repayment of the loan. See Note 2 “Significant Accounting Policies.”</w:t>
            </w:r>
          </w:p>
        </w:tc>
      </w:tr>
    </w:tbl>
    <w:tbl>
      <w:tblPr>
        <w:tblW w:w="5373" w:type="dxa"/>
        <w:jc w:val="left"/>
        <w:tblInd w:w="0" w:type="dxa"/>
        <w:tblLayout w:type="fixed"/>
        <w:tblCellMar>
          <w:top w:w="0" w:type="dxa"/>
          <w:left w:w="0" w:type="dxa"/>
          <w:bottom w:w="0" w:type="dxa"/>
          <w:right w:w="0" w:type="dxa"/>
        </w:tblCellMar>
      </w:tblPr>
      <w:tblGrid>
        <w:gridCol w:w="68"/>
        <w:gridCol w:w="380"/>
        <w:gridCol w:w="492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(28)</w:t>
            </w:r>
          </w:p>
        </w:tc>
        <w:tc>
          <w:tcPr>
            <w:tcW w:w="4925" w:type="dxa"/>
            <w:tcBorders/>
            <w:vAlign w:val="center"/>
          </w:tcPr>
          <w:p>
            <w:pPr>
              <w:pStyle w:val="TableContents"/>
              <w:bidi w:val="0"/>
              <w:spacing w:before="0" w:after="283"/>
              <w:jc w:val="both"/>
              <w:rPr/>
            </w:pPr>
            <w:r>
              <w:rPr/>
              <w:t>The interest rate on this preferred equity is 7.875%.</w:t>
            </w:r>
          </w:p>
        </w:tc>
      </w:tr>
    </w:tbl>
    <w:tbl>
      <w:tblPr>
        <w:tblW w:w="9483" w:type="dxa"/>
        <w:jc w:val="left"/>
        <w:tblInd w:w="0" w:type="dxa"/>
        <w:tblLayout w:type="fixed"/>
        <w:tblCellMar>
          <w:top w:w="0" w:type="dxa"/>
          <w:left w:w="0" w:type="dxa"/>
          <w:bottom w:w="0" w:type="dxa"/>
          <w:right w:w="0" w:type="dxa"/>
        </w:tblCellMar>
      </w:tblPr>
      <w:tblGrid>
        <w:gridCol w:w="68"/>
        <w:gridCol w:w="38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(29)</w:t>
            </w:r>
          </w:p>
        </w:tc>
        <w:tc>
          <w:tcPr>
            <w:tcW w:w="9035" w:type="dxa"/>
            <w:tcBorders/>
            <w:vAlign w:val="center"/>
          </w:tcPr>
          <w:p>
            <w:pPr>
              <w:pStyle w:val="TableContents"/>
              <w:bidi w:val="0"/>
              <w:spacing w:before="0" w:after="283"/>
              <w:jc w:val="both"/>
              <w:rPr/>
            </w:pPr>
            <w:r>
              <w:rPr/>
              <w:t>For this investment, the 8/1/2025 and 2/1/2026 interest payments are payment-in-kind (“PIK”).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ind w:left="0" w:right="0" w:hanging="0"/>
        <w:jc w:val="left"/>
        <w:rPr>
          <w:caps w:val="false"/>
          <w:smallCaps w:val="false"/>
        </w:rPr>
      </w:pPr>
      <w:r>
        <w:rPr>
          <w:caps w:val="false"/>
          <w:smallCaps w:val="false"/>
        </w:rPr>
        <w:t> </w:t>
      </w:r>
    </w:p>
    <w:tbl>
      <w:tblPr>
        <w:tblW w:w="10605" w:type="dxa"/>
        <w:jc w:val="left"/>
        <w:tblInd w:w="0" w:type="dxa"/>
        <w:tblLayout w:type="fixed"/>
        <w:tblCellMar>
          <w:top w:w="0" w:type="dxa"/>
          <w:left w:w="0" w:type="dxa"/>
          <w:bottom w:w="28" w:type="dxa"/>
          <w:right w:w="0" w:type="dxa"/>
        </w:tblCellMar>
      </w:tblPr>
      <w:tblGrid>
        <w:gridCol w:w="1535"/>
        <w:gridCol w:w="90"/>
        <w:gridCol w:w="935"/>
        <w:gridCol w:w="90"/>
        <w:gridCol w:w="1175"/>
        <w:gridCol w:w="90"/>
        <w:gridCol w:w="965"/>
        <w:gridCol w:w="90"/>
        <w:gridCol w:w="170"/>
        <w:gridCol w:w="1010"/>
        <w:gridCol w:w="90"/>
        <w:gridCol w:w="90"/>
        <w:gridCol w:w="170"/>
        <w:gridCol w:w="1130"/>
        <w:gridCol w:w="90"/>
        <w:gridCol w:w="90"/>
        <w:gridCol w:w="170"/>
        <w:gridCol w:w="1130"/>
        <w:gridCol w:w="90"/>
        <w:gridCol w:w="90"/>
        <w:gridCol w:w="164"/>
        <w:gridCol w:w="861"/>
        <w:gridCol w:w="290"/>
      </w:tblGrid>
      <w:tr>
        <w:trPr/>
        <w:tc>
          <w:tcPr>
            <w:tcW w:w="1535" w:type="dxa"/>
            <w:tcBorders>
              <w:bottom w:val="single" w:sz="12" w:space="0" w:color="000000"/>
            </w:tcBorders>
            <w:vAlign w:val="center"/>
          </w:tcPr>
          <w:p>
            <w:pPr>
              <w:pStyle w:val="TableContents"/>
              <w:bidi w:val="0"/>
              <w:spacing w:before="0" w:after="283"/>
              <w:ind w:left="0" w:right="0" w:hanging="180"/>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12" w:space="0" w:color="000000"/>
            </w:tcBorders>
            <w:vAlign w:val="center"/>
          </w:tcPr>
          <w:p>
            <w:pPr>
              <w:pStyle w:val="TableContents"/>
              <w:bidi w:val="0"/>
              <w:spacing w:before="0" w:after="283"/>
              <w:jc w:val="center"/>
              <w:rPr>
                <w:b/>
              </w:rPr>
            </w:pPr>
            <w:r>
              <w:rPr>
                <w:b/>
              </w:rPr>
              <w:t>% of Net </w:t>
              <w:br/>
              <w:t>Assets</w:t>
            </w:r>
            <w:r>
              <w:rPr>
                <w:b/>
                <w:position w:val="8"/>
                <w:sz w:val="19"/>
              </w:rPr>
              <w:t>(5)</w:t>
            </w:r>
          </w:p>
        </w:tc>
        <w:tc>
          <w:tcPr>
            <w:tcW w:w="290" w:type="dxa"/>
            <w:tcBorders/>
            <w:tcMar>
              <w:bottom w:w="0" w:type="dxa"/>
            </w:tcMar>
            <w:vAlign w:val="center"/>
          </w:tcPr>
          <w:p>
            <w:pPr>
              <w:pStyle w:val="TableContents"/>
              <w:bidi w:val="0"/>
              <w:spacing w:before="0" w:after="283"/>
              <w:jc w:val="left"/>
              <w:rPr/>
            </w:pPr>
            <w:r>
              <w:rPr/>
              <w:t> </w:t>
            </w:r>
          </w:p>
        </w:tc>
      </w:tr>
      <w:tr>
        <w:trPr/>
        <w:tc>
          <w:tcPr>
            <w:tcW w:w="3825" w:type="dxa"/>
            <w:gridSpan w:val="5"/>
            <w:tcBorders/>
            <w:tcMar>
              <w:bottom w:w="0" w:type="dxa"/>
            </w:tcMar>
            <w:vAlign w:val="center"/>
          </w:tcPr>
          <w:p>
            <w:pPr>
              <w:pStyle w:val="TableContents"/>
              <w:bidi w:val="0"/>
              <w:spacing w:before="0" w:after="283"/>
              <w:jc w:val="left"/>
              <w:rPr>
                <w:b/>
                <w:u w:val="single"/>
              </w:rPr>
            </w:pPr>
            <w:r>
              <w:rPr>
                <w:b/>
                <w:u w:val="single"/>
              </w:rPr>
              <w:t>Non-Controlled/Non-Affiliated Investments:</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pPr>
            <w:r>
              <w:rPr/>
              <w:t>Adamas Trust,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221,469 Class E Preferred Units(13)(24)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221,469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5,510,240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30" w:type="dxa"/>
            <w:tcBorders/>
            <w:shd w:fill="CCEEFF" w:val="clear"/>
            <w:tcMar>
              <w:bottom w:w="0" w:type="dxa"/>
            </w:tcMar>
            <w:vAlign w:val="center"/>
          </w:tcPr>
          <w:p>
            <w:pPr>
              <w:pStyle w:val="TableContents"/>
              <w:bidi w:val="0"/>
              <w:spacing w:before="0" w:after="283"/>
              <w:jc w:val="right"/>
              <w:rPr/>
            </w:pPr>
            <w:r>
              <w:rPr/>
              <w:t>5,565,516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3.45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- 17,243 Class F Preferred Units(13)(18)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17,243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375,635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392,278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0.24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238,712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5,885,875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5,957,794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3.69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pPr>
            <w:r>
              <w:rPr/>
              <w:t>Altisource S.A.R.L.(11)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B  (SOFR + CSA + 6.50%)(14)(20)(24)(27)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4/30/2030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8,040,718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8,460,009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8,322,143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5.18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- 547,180 Units(13)(21)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547,180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3,327,909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6,380,119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3.97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Warrants(13)(21)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647,105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77,940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0.05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Warrants(13)(21)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4/30/2032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111,343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622,110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64,579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0.04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8,810,584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13,057,133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14,844,781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9.24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pPr>
            <w:r>
              <w:rPr/>
              <w:t>Boostability Seotowncenter,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- 833,152 Common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0"/>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833,152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66,475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0.00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0"/>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833,152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66,475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0.00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pPr>
            <w:r>
              <w:rPr/>
              <w:t>CB&amp;L Associates Holdco I, LLC(11)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 (SOFR + CSA + 2.75%, 1.00% Floor)(14)(20)(23)(29)</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11/1/2025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2,879,525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2,419,049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2,753,546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1.71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2,879,525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2,419,049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2,753,546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1.71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35" w:type="dxa"/>
            <w:tcBorders/>
            <w:shd w:fill="CCEEFF" w:val="clear"/>
            <w:tcMar>
              <w:bottom w:w="0" w:type="dxa"/>
            </w:tcMar>
            <w:vAlign w:val="center"/>
          </w:tcPr>
          <w:p>
            <w:pPr>
              <w:pStyle w:val="TableContents"/>
              <w:bidi w:val="0"/>
              <w:spacing w:before="0" w:after="283"/>
              <w:jc w:val="left"/>
              <w:rPr/>
            </w:pPr>
            <w:r>
              <w:rPr/>
              <w:t>Chimera Investment Corp.(11)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- 151,710 Class C Preferred Units(13)(15)</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151,710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3,635,972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3,504,501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2.18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- 26,133 Class B Preferred Units(13)(24)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26,133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635,531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629,544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0.39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177,843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4,271,503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4,134,045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2.57</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jc w:val="left"/>
        <w:rPr>
          <w:caps w:val="false"/>
          <w:smallCaps w:val="false"/>
        </w:rPr>
      </w:pPr>
      <w:r>
        <w:rPr>
          <w:caps w:val="false"/>
          <w:smallCaps w:val="false"/>
        </w:rPr>
        <w:t> </w:t>
      </w:r>
    </w:p>
    <w:tbl>
      <w:tblPr>
        <w:tblW w:w="10980" w:type="dxa"/>
        <w:jc w:val="left"/>
        <w:tblInd w:w="0" w:type="dxa"/>
        <w:tblLayout w:type="fixed"/>
        <w:tblCellMar>
          <w:top w:w="0" w:type="dxa"/>
          <w:left w:w="0" w:type="dxa"/>
          <w:bottom w:w="28" w:type="dxa"/>
          <w:right w:w="0" w:type="dxa"/>
        </w:tblCellMar>
      </w:tblPr>
      <w:tblGrid>
        <w:gridCol w:w="1610"/>
        <w:gridCol w:w="90"/>
        <w:gridCol w:w="1265"/>
        <w:gridCol w:w="90"/>
        <w:gridCol w:w="1265"/>
        <w:gridCol w:w="90"/>
        <w:gridCol w:w="965"/>
        <w:gridCol w:w="90"/>
        <w:gridCol w:w="90"/>
        <w:gridCol w:w="1130"/>
        <w:gridCol w:w="90"/>
        <w:gridCol w:w="90"/>
        <w:gridCol w:w="90"/>
        <w:gridCol w:w="1130"/>
        <w:gridCol w:w="90"/>
        <w:gridCol w:w="90"/>
        <w:gridCol w:w="90"/>
        <w:gridCol w:w="1130"/>
        <w:gridCol w:w="90"/>
        <w:gridCol w:w="90"/>
        <w:gridCol w:w="164"/>
        <w:gridCol w:w="861"/>
        <w:gridCol w:w="290"/>
      </w:tblGrid>
      <w:tr>
        <w:trPr/>
        <w:tc>
          <w:tcPr>
            <w:tcW w:w="1610" w:type="dxa"/>
            <w:tcBorders>
              <w:bottom w:val="single" w:sz="12" w:space="0" w:color="000000"/>
            </w:tcBorders>
            <w:vAlign w:val="center"/>
          </w:tcPr>
          <w:p>
            <w:pPr>
              <w:pStyle w:val="TableContents"/>
              <w:bidi w:val="0"/>
              <w:spacing w:before="0" w:after="283"/>
              <w:ind w:left="0" w:right="0" w:hanging="180"/>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12" w:space="0" w:color="000000"/>
            </w:tcBorders>
            <w:vAlign w:val="center"/>
          </w:tcPr>
          <w:p>
            <w:pPr>
              <w:pStyle w:val="TableContents"/>
              <w:bidi w:val="0"/>
              <w:spacing w:before="0" w:after="283"/>
              <w:jc w:val="center"/>
              <w:rPr>
                <w:b/>
              </w:rPr>
            </w:pPr>
            <w:r>
              <w:rPr>
                <w:b/>
              </w:rPr>
              <w:t>% of Net </w:t>
              <w:br/>
              <w:t>Assets</w:t>
            </w:r>
            <w:r>
              <w:rPr>
                <w:b/>
                <w:position w:val="8"/>
                <w:sz w:val="19"/>
              </w:rPr>
              <w:t>(5)</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Compass Diversified Holdings(11)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- 22,049 Series C Preferred Units(13)(28)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381,008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405,702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0.25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22,049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381,008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405,702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0.25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Copper Property CTL Pass Through Trust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Certificates(13)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7,200,434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7,915,036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4.92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637,795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7,200,434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7,915,036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4.92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Franklin BSP Realty Trust,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- 50,000 Common Units(13)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498,155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543,000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0.34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498,155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543,000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0.34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Innovate Corp.(11)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Construction &amp; Building</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10.50% Senior Secured Notes(14)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2/1/2027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4,558,125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4,022,788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4,033,941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2.51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4,558,125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4,022,788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4,033,941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2.51</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Invesco Mortgage Capital,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- 180,000 Common Units(13)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1,360,800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0.85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1,411,789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1,360,800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0.85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NGS-WCS Group Holdings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Construction &amp; Building</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B (SOFR + 4.75%, 0.50% Floor)(23)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5/31/2030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987,500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983,422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997,375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0.62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JFL-NGS-WCS Partners,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- 10,000,000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13,100,000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8.15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10,987,500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10,983,422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14,097,375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8.77</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4" w:type="dxa"/>
            <w:tcBorders/>
            <w:tcMar>
              <w:bottom w:w="0" w:type="dxa"/>
            </w:tcMar>
            <w:vAlign w:val="center"/>
          </w:tcPr>
          <w:p>
            <w:pPr>
              <w:pStyle w:val="TableContents"/>
              <w:bidi w:val="0"/>
              <w:spacing w:before="0" w:after="283"/>
              <w:jc w:val="left"/>
              <w:rPr/>
            </w:pPr>
            <w:r>
              <w:rPr/>
              <w:t> </w:t>
            </w:r>
          </w:p>
        </w:tc>
        <w:tc>
          <w:tcPr>
            <w:tcW w:w="861"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610" w:type="dxa"/>
            <w:tcBorders/>
            <w:shd w:fill="CCEEFF" w:val="clear"/>
            <w:tcMar>
              <w:bottom w:w="0" w:type="dxa"/>
            </w:tcMar>
            <w:vAlign w:val="center"/>
          </w:tcPr>
          <w:p>
            <w:pPr>
              <w:pStyle w:val="TableContents"/>
              <w:bidi w:val="0"/>
              <w:spacing w:before="0" w:after="283"/>
              <w:jc w:val="left"/>
              <w:rPr/>
            </w:pPr>
            <w:r>
              <w:rPr/>
              <w:t>Kemmerer Operations,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Metals &amp; Mining</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(SOFR + 5.00%)(24)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861" w:type="dxa"/>
            <w:tcBorders>
              <w:bottom w:val="single" w:sz="12" w:space="0" w:color="000000"/>
            </w:tcBorders>
            <w:shd w:fill="CCEEFF" w:val="clear"/>
            <w:vAlign w:val="center"/>
          </w:tcPr>
          <w:p>
            <w:pPr>
              <w:pStyle w:val="TableContents"/>
              <w:bidi w:val="0"/>
              <w:spacing w:before="0" w:after="283"/>
              <w:jc w:val="right"/>
              <w:rPr/>
            </w:pPr>
            <w:r>
              <w:rPr/>
              <w:t>5.45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6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8,762,782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861" w:type="dxa"/>
            <w:tcBorders/>
            <w:shd w:fill="CCEEFF" w:val="clear"/>
            <w:tcMar>
              <w:bottom w:w="0" w:type="dxa"/>
            </w:tcMar>
            <w:vAlign w:val="center"/>
          </w:tcPr>
          <w:p>
            <w:pPr>
              <w:pStyle w:val="TableContents"/>
              <w:bidi w:val="0"/>
              <w:spacing w:before="0" w:after="283"/>
              <w:jc w:val="right"/>
              <w:rPr/>
            </w:pPr>
            <w:r>
              <w:rPr/>
              <w:t>5.45</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ind w:left="0" w:right="0" w:hanging="0"/>
        <w:jc w:val="left"/>
        <w:rPr>
          <w:caps w:val="false"/>
          <w:smallCaps w:val="false"/>
        </w:rPr>
      </w:pPr>
      <w:r>
        <w:rPr>
          <w:caps w:val="false"/>
          <w:smallCaps w:val="false"/>
        </w:rPr>
        <w:t> </w:t>
      </w:r>
    </w:p>
    <w:tbl>
      <w:tblPr>
        <w:tblW w:w="10950" w:type="dxa"/>
        <w:jc w:val="left"/>
        <w:tblInd w:w="0" w:type="dxa"/>
        <w:tblLayout w:type="fixed"/>
        <w:tblCellMar>
          <w:top w:w="0" w:type="dxa"/>
          <w:left w:w="0" w:type="dxa"/>
          <w:bottom w:w="28" w:type="dxa"/>
          <w:right w:w="0" w:type="dxa"/>
        </w:tblCellMar>
      </w:tblPr>
      <w:tblGrid>
        <w:gridCol w:w="1580"/>
        <w:gridCol w:w="90"/>
        <w:gridCol w:w="1475"/>
        <w:gridCol w:w="90"/>
        <w:gridCol w:w="1235"/>
        <w:gridCol w:w="90"/>
        <w:gridCol w:w="965"/>
        <w:gridCol w:w="90"/>
        <w:gridCol w:w="170"/>
        <w:gridCol w:w="1010"/>
        <w:gridCol w:w="90"/>
        <w:gridCol w:w="90"/>
        <w:gridCol w:w="170"/>
        <w:gridCol w:w="1010"/>
        <w:gridCol w:w="90"/>
        <w:gridCol w:w="90"/>
        <w:gridCol w:w="170"/>
        <w:gridCol w:w="1010"/>
        <w:gridCol w:w="90"/>
        <w:gridCol w:w="90"/>
        <w:gridCol w:w="155"/>
        <w:gridCol w:w="810"/>
        <w:gridCol w:w="290"/>
      </w:tblGrid>
      <w:tr>
        <w:trPr/>
        <w:tc>
          <w:tcPr>
            <w:tcW w:w="1580" w:type="dxa"/>
            <w:tcBorders>
              <w:bottom w:val="single" w:sz="12" w:space="0" w:color="000000"/>
            </w:tcBorders>
            <w:vAlign w:val="center"/>
          </w:tcPr>
          <w:p>
            <w:pPr>
              <w:pStyle w:val="TableContents"/>
              <w:bidi w:val="0"/>
              <w:spacing w:before="0" w:after="283"/>
              <w:ind w:left="0" w:right="0" w:hanging="180"/>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283"/>
              <w:jc w:val="left"/>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of Net</w:t>
              <w:br/>
              <w:t>Assets</w:t>
            </w:r>
            <w:r>
              <w:rPr>
                <w:b/>
                <w:position w:val="8"/>
                <w:sz w:val="19"/>
              </w:rPr>
              <w:t>(5)</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Lucky Bucks, LLC (dba Arc Gaming &amp; Technologies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Consumer Discretionary</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Priority Second Out Term Loan (SOFR + CSA + 7.50%, 5.00% PIK, 1.00% Floor)(20)(25)</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10/2/2029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2,143,683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1,998,121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1,993,625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1.24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Priority First Out Exit Term Loan (SOFR + CSA + 7.50%, 1.00% Floor)(20)(25)</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10/2/2028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1,514,302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1,410,541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1,514,302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0.94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LB NewHoldCo,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- 230,739 Membership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230,739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449,393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994,485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0.62</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3,888,724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3,858,055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4,502,412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2.80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MFA Financial,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- 114,695 Class C Preferred Units(13)(24)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114,695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2,800,579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2,737,770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1.70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- 70,000 Common Units(13)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714,994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643,300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0.40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184,695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3,515,573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3,381,070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2.10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Neptune Bidco US, Inc. (dba Nielsen)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Media: Broadcasting &amp; Subscription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First Lien Term Loan (SOFR + CSA + 5.00%, 0.50% Floor)(14)(20)(24)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2,967,133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2,786,574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2,822,486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1.76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9.29% Senior Secured Note(14)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4/15/2029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3,676,250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3,910,000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2.43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6,967,133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6,462,824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6,732,486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4.19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Onity Group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Equity - 200,000 Preferred Units(28)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3,948,000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2.46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3,948,000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2.46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PHH Mortgage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9.875% Senior Secured Note(14)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11/1/2029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2,515,625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1.56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2,500,000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2,343,050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2,515,625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1.56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Power Stop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Automotive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Term Loan (SOFR + CSA + 4.75%, 0.50% Floor)(14)(20)(24)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1/26/2029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9,704,216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8,504,727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7,860,415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4.89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9,704,216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8,504,727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7,860,415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4.89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580" w:type="dxa"/>
            <w:tcBorders/>
            <w:shd w:fill="CCEEFF" w:val="clear"/>
            <w:tcMar>
              <w:bottom w:w="0" w:type="dxa"/>
            </w:tcMar>
            <w:vAlign w:val="center"/>
          </w:tcPr>
          <w:p>
            <w:pPr>
              <w:pStyle w:val="TableContents"/>
              <w:bidi w:val="0"/>
              <w:spacing w:before="0" w:after="283"/>
              <w:jc w:val="left"/>
              <w:rPr/>
            </w:pPr>
            <w:r>
              <w:rPr/>
              <w:t>PREIT Associates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First Lien Term Loan (SOFR + 7.00%)(14)(23)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56,201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55,077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57,606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0.04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Senior Secured Revolving Note (SOFR + 5.50%)(8)(23)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73,083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72,230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71,251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0.04</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8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129,284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127,307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128,857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0.08</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jc w:val="left"/>
        <w:rPr>
          <w:caps w:val="false"/>
          <w:smallCaps w:val="false"/>
        </w:rPr>
      </w:pPr>
      <w:r>
        <w:rPr>
          <w:caps w:val="false"/>
          <w:smallCaps w:val="false"/>
        </w:rPr>
        <w:t> </w:t>
      </w:r>
    </w:p>
    <w:tbl>
      <w:tblPr>
        <w:tblW w:w="10650" w:type="dxa"/>
        <w:jc w:val="left"/>
        <w:tblInd w:w="0" w:type="dxa"/>
        <w:tblLayout w:type="fixed"/>
        <w:tblCellMar>
          <w:top w:w="0" w:type="dxa"/>
          <w:left w:w="0" w:type="dxa"/>
          <w:bottom w:w="28" w:type="dxa"/>
          <w:right w:w="0" w:type="dxa"/>
        </w:tblCellMar>
      </w:tblPr>
      <w:tblGrid>
        <w:gridCol w:w="1220"/>
        <w:gridCol w:w="90"/>
        <w:gridCol w:w="1475"/>
        <w:gridCol w:w="90"/>
        <w:gridCol w:w="1175"/>
        <w:gridCol w:w="90"/>
        <w:gridCol w:w="965"/>
        <w:gridCol w:w="90"/>
        <w:gridCol w:w="90"/>
        <w:gridCol w:w="1130"/>
        <w:gridCol w:w="90"/>
        <w:gridCol w:w="90"/>
        <w:gridCol w:w="90"/>
        <w:gridCol w:w="1130"/>
        <w:gridCol w:w="90"/>
        <w:gridCol w:w="90"/>
        <w:gridCol w:w="90"/>
        <w:gridCol w:w="1130"/>
        <w:gridCol w:w="90"/>
        <w:gridCol w:w="90"/>
        <w:gridCol w:w="155"/>
        <w:gridCol w:w="810"/>
        <w:gridCol w:w="290"/>
      </w:tblGrid>
      <w:tr>
        <w:trPr/>
        <w:tc>
          <w:tcPr>
            <w:tcW w:w="1220" w:type="dxa"/>
            <w:tcBorders>
              <w:bottom w:val="single" w:sz="12" w:space="0" w:color="000000"/>
            </w:tcBorders>
            <w:vAlign w:val="center"/>
          </w:tcPr>
          <w:p>
            <w:pPr>
              <w:pStyle w:val="TableContents"/>
              <w:bidi w:val="0"/>
              <w:spacing w:before="0" w:after="283"/>
              <w:ind w:left="0" w:right="0" w:hanging="180"/>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475" w:type="dxa"/>
            <w:tcBorders>
              <w:bottom w:val="single" w:sz="12" w:space="0" w:color="000000"/>
            </w:tcBorders>
            <w:vAlign w:val="center"/>
          </w:tcPr>
          <w:p>
            <w:pPr>
              <w:pStyle w:val="TableContents"/>
              <w:bidi w:val="0"/>
              <w:spacing w:before="0" w:after="283"/>
              <w:jc w:val="left"/>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of Net</w:t>
              <w:br/>
              <w:t>Assets</w:t>
            </w:r>
            <w:r>
              <w:rPr>
                <w:b/>
                <w:position w:val="8"/>
                <w:sz w:val="19"/>
              </w:rPr>
              <w:t>(5)</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PSB Group,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+ 6.50%, 1.00% Floor)(23)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5,706,618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5,679,996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5,706,618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3.55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Revolver (SOFR + 6.50%, 1.00% Floor)(8)(12)(23)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293,137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0.18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5,999,755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5,973,133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5,999,755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3.73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Redwood Trust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- 165,000 Common Units(13)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165,000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1,012,942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955,350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0.59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165,000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1,012,942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955,350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0.59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SS Acquisition, LLC (dba Soccer Shots Franchising)</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+ 5.75%, 1.00% Floor)(23)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13,469,643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13,404,028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13,469,643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8.38</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Revolver (SOFR + 5.75%, 1.00% Floor)(8)(12)(23)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12/20/2029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0.25</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13,869,643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13,804,028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13,869,643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8.63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Stancor (dba Industrial Flow Solutions Holdings,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- 358,867 Class A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0.20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358,867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345,491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314,132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0.20</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Spotter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High Tech Industries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Series D-1 Preferred Stock(21)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3.73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414,293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5,999,998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3.73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Staples,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Lien Term Loan (SOFR + 5.75%, 0.50% Floor)(14)(24)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9/1/2029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3,960,000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3,830,925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3,742,200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2.33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3,960,000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3,830,925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3,742,200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2.33</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Tamarix Capital Partners II, L.P.(11)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Banking</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Fund Investment(8)(21)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 </w:t>
            </w:r>
            <w:r>
              <w:rPr/>
              <w:t xml:space="preserve">N/A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2,194,384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2,227,463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1.39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2,194,384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2,227,463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1.39</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4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810"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Thryv Holdings, Inc.(11)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Media: Broadcasting &amp; Subscription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 (SOFR + 6.75%, 1.00% Floor)(14)(23)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5/1/2029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2,009,375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2,027,531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bottom w:val="single" w:sz="12" w:space="0" w:color="000000"/>
            </w:tcBorders>
            <w:shd w:fill="CCEEFF" w:val="clear"/>
            <w:vAlign w:val="center"/>
          </w:tcPr>
          <w:p>
            <w:pPr>
              <w:pStyle w:val="TableContents"/>
              <w:bidi w:val="0"/>
              <w:spacing w:before="0" w:after="283"/>
              <w:jc w:val="left"/>
              <w:rPr/>
            </w:pPr>
            <w:r>
              <w:rPr/>
              <w:t> </w:t>
            </w:r>
          </w:p>
        </w:tc>
        <w:tc>
          <w:tcPr>
            <w:tcW w:w="810" w:type="dxa"/>
            <w:tcBorders>
              <w:bottom w:val="single" w:sz="12" w:space="0" w:color="000000"/>
            </w:tcBorders>
            <w:shd w:fill="CCEEFF" w:val="clear"/>
            <w:vAlign w:val="center"/>
          </w:tcPr>
          <w:p>
            <w:pPr>
              <w:pStyle w:val="TableContents"/>
              <w:bidi w:val="0"/>
              <w:spacing w:before="0" w:after="283"/>
              <w:jc w:val="right"/>
              <w:rPr/>
            </w:pPr>
            <w:r>
              <w:rPr/>
              <w:t>1.26</w:t>
            </w:r>
          </w:p>
        </w:tc>
        <w:tc>
          <w:tcPr>
            <w:tcW w:w="29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2,025,000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2,009,375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2,027,531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810" w:type="dxa"/>
            <w:tcBorders/>
            <w:shd w:fill="CCEEFF" w:val="clear"/>
            <w:tcMar>
              <w:bottom w:w="0" w:type="dxa"/>
            </w:tcMar>
            <w:vAlign w:val="center"/>
          </w:tcPr>
          <w:p>
            <w:pPr>
              <w:pStyle w:val="TableContents"/>
              <w:bidi w:val="0"/>
              <w:spacing w:before="0" w:after="283"/>
              <w:jc w:val="right"/>
              <w:rPr/>
            </w:pPr>
            <w:r>
              <w:rPr/>
              <w:t>1.26</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jc w:val="left"/>
        <w:rPr>
          <w:caps w:val="false"/>
          <w:smallCaps w:val="false"/>
        </w:rPr>
      </w:pPr>
      <w:r>
        <w:rPr>
          <w:caps w:val="false"/>
          <w:smallCaps w:val="false"/>
        </w:rPr>
        <w:t> </w:t>
      </w:r>
    </w:p>
    <w:tbl>
      <w:tblPr>
        <w:tblW w:w="10735" w:type="dxa"/>
        <w:jc w:val="left"/>
        <w:tblInd w:w="0" w:type="dxa"/>
        <w:tblLayout w:type="fixed"/>
        <w:tblCellMar>
          <w:top w:w="0" w:type="dxa"/>
          <w:left w:w="0" w:type="dxa"/>
          <w:bottom w:w="28" w:type="dxa"/>
          <w:right w:w="0" w:type="dxa"/>
        </w:tblCellMar>
      </w:tblPr>
      <w:tblGrid>
        <w:gridCol w:w="1145"/>
        <w:gridCol w:w="90"/>
        <w:gridCol w:w="1070"/>
        <w:gridCol w:w="90"/>
        <w:gridCol w:w="1175"/>
        <w:gridCol w:w="90"/>
        <w:gridCol w:w="965"/>
        <w:gridCol w:w="90"/>
        <w:gridCol w:w="90"/>
        <w:gridCol w:w="1250"/>
        <w:gridCol w:w="90"/>
        <w:gridCol w:w="90"/>
        <w:gridCol w:w="170"/>
        <w:gridCol w:w="1250"/>
        <w:gridCol w:w="90"/>
        <w:gridCol w:w="90"/>
        <w:gridCol w:w="170"/>
        <w:gridCol w:w="1250"/>
        <w:gridCol w:w="90"/>
        <w:gridCol w:w="90"/>
        <w:gridCol w:w="127"/>
        <w:gridCol w:w="838"/>
        <w:gridCol w:w="335"/>
      </w:tblGrid>
      <w:tr>
        <w:trPr/>
        <w:tc>
          <w:tcPr>
            <w:tcW w:w="1145" w:type="dxa"/>
            <w:tcBorders>
              <w:bottom w:val="single" w:sz="12" w:space="0" w:color="000000"/>
            </w:tcBorders>
            <w:vAlign w:val="center"/>
          </w:tcPr>
          <w:p>
            <w:pPr>
              <w:pStyle w:val="TableContents"/>
              <w:bidi w:val="0"/>
              <w:spacing w:before="0" w:after="283"/>
              <w:jc w:val="left"/>
              <w:rPr>
                <w:b/>
              </w:rPr>
            </w:pPr>
            <w:r>
              <w:rPr>
                <w:b/>
              </w:rPr>
              <w:t>Company(1)</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left"/>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b/>
              </w:rPr>
            </w:pPr>
            <w:r>
              <w:rPr>
                <w:b/>
              </w:rPr>
              <w:t xml:space="preserve">Type of </w:t>
              <w:br/>
              <w:t>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of Net</w:t>
              <w:br/>
              <w:t>Assets</w:t>
            </w:r>
            <w:r>
              <w:rPr>
                <w:b/>
                <w:position w:val="8"/>
                <w:sz w:val="19"/>
              </w:rPr>
              <w:t>(5)</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WHI Global,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Aerospace &amp; Defense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Revolving Note(SOFR + CSA + 8.75%, 3.00% Floor)(8)(12)(20)(23)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884,053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863,075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876,097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0.54</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Senior Secured First Lien Term Loan(SOFR + CSA + 8.75%, 3.00% Floor)(20)(23)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4/17/2029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12,369,840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12,256,814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12,258,511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7.62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Equity - 350 Common Shares(21)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700,000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483,284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0.30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13,254,243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13,819,889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13,617,892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8.46</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45" w:type="dxa"/>
            <w:tcBorders/>
            <w:shd w:fill="CCEEFF" w:val="clear"/>
            <w:tcMar>
              <w:bottom w:w="0" w:type="dxa"/>
            </w:tcMar>
            <w:vAlign w:val="center"/>
          </w:tcPr>
          <w:p>
            <w:pPr>
              <w:pStyle w:val="TableContents"/>
              <w:bidi w:val="0"/>
              <w:spacing w:before="0" w:after="283"/>
              <w:jc w:val="left"/>
              <w:rPr/>
            </w:pPr>
            <w:r>
              <w:rPr/>
              <w:t>XYZ Roofco, LLC (dba SMC Roofing Solutions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Out Term Loan (SOFR + 3.50%,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618,546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623,442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618,546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0.38</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First Out Delayed Draw Term Loan (SOFR + 3.50%,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30,950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31,933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31,128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0.02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Last Out Term Loan (SOFR + 6.25% + 2.75% First Out Skim,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1,863,568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1,859,920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1,858,909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1.16</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Last Out Delayed Draw Term Loan (SOFR + 6.25% + 2.75% First Out Skim, 2.00%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10/16/2028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140,082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139,955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0.09</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2,653,146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2,655,377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2,648,538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1.65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45" w:type="dxa"/>
            <w:tcBorders/>
            <w:tcMar>
              <w:bottom w:w="0" w:type="dxa"/>
            </w:tcMar>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1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4625" w:type="dxa"/>
            <w:gridSpan w:val="7"/>
            <w:tcBorders/>
            <w:shd w:fill="CCEEFF" w:val="clear"/>
            <w:tcMar>
              <w:bottom w:w="0" w:type="dxa"/>
            </w:tcMar>
            <w:vAlign w:val="center"/>
          </w:tcPr>
          <w:p>
            <w:pPr>
              <w:pStyle w:val="TableContents"/>
              <w:bidi w:val="0"/>
              <w:spacing w:before="0" w:after="283"/>
              <w:jc w:val="left"/>
              <w:rPr>
                <w:b/>
              </w:rPr>
            </w:pPr>
            <w:r>
              <w:rPr>
                <w:b/>
              </w:rPr>
              <w:t>Subtotal Non-Controlled/Non-Affiliated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104,412,066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139,342,491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145,280,169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b/>
              </w:rPr>
            </w:pPr>
            <w:r>
              <w:rPr>
                <w:b/>
              </w:rPr>
              <w:t>90.35</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ind w:left="0" w:right="0" w:hanging="0"/>
        <w:jc w:val="center"/>
        <w:rPr>
          <w:caps w:val="false"/>
          <w:smallCaps w:val="false"/>
        </w:rPr>
      </w:pPr>
      <w:r>
        <w:rPr>
          <w:caps w:val="false"/>
          <w:smallCaps w:val="false"/>
        </w:rPr>
        <w:t> </w:t>
      </w:r>
    </w:p>
    <w:tbl>
      <w:tblPr>
        <w:tblW w:w="10390" w:type="dxa"/>
        <w:jc w:val="left"/>
        <w:tblInd w:w="0" w:type="dxa"/>
        <w:tblLayout w:type="fixed"/>
        <w:tblCellMar>
          <w:top w:w="0" w:type="dxa"/>
          <w:left w:w="0" w:type="dxa"/>
          <w:bottom w:w="28" w:type="dxa"/>
          <w:right w:w="0" w:type="dxa"/>
        </w:tblCellMar>
      </w:tblPr>
      <w:tblGrid>
        <w:gridCol w:w="1130"/>
        <w:gridCol w:w="90"/>
        <w:gridCol w:w="1070"/>
        <w:gridCol w:w="90"/>
        <w:gridCol w:w="1205"/>
        <w:gridCol w:w="90"/>
        <w:gridCol w:w="965"/>
        <w:gridCol w:w="90"/>
        <w:gridCol w:w="90"/>
        <w:gridCol w:w="1130"/>
        <w:gridCol w:w="90"/>
        <w:gridCol w:w="90"/>
        <w:gridCol w:w="170"/>
        <w:gridCol w:w="1130"/>
        <w:gridCol w:w="90"/>
        <w:gridCol w:w="90"/>
        <w:gridCol w:w="170"/>
        <w:gridCol w:w="1130"/>
        <w:gridCol w:w="90"/>
        <w:gridCol w:w="90"/>
        <w:gridCol w:w="127"/>
        <w:gridCol w:w="838"/>
        <w:gridCol w:w="335"/>
      </w:tblGrid>
      <w:tr>
        <w:trPr/>
        <w:tc>
          <w:tcPr>
            <w:tcW w:w="1130" w:type="dxa"/>
            <w:tcBorders>
              <w:bottom w:val="single" w:sz="12" w:space="0" w:color="000000"/>
            </w:tcBorders>
            <w:vAlign w:val="center"/>
          </w:tcPr>
          <w:p>
            <w:pPr>
              <w:pStyle w:val="TableContents"/>
              <w:bidi w:val="0"/>
              <w:spacing w:before="0" w:after="283"/>
              <w:jc w:val="left"/>
              <w:rPr>
                <w:b/>
              </w:rPr>
            </w:pPr>
            <w:r>
              <w:rPr>
                <w:b/>
              </w:rPr>
              <w:t>Company</w:t>
            </w:r>
            <w:r>
              <w:rPr>
                <w:b/>
                <w:position w:val="8"/>
                <w:sz w:val="19"/>
              </w:rPr>
              <w:t>(1)</w:t>
            </w:r>
          </w:p>
        </w:tc>
        <w:tc>
          <w:tcPr>
            <w:tcW w:w="9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left"/>
              <w:rPr>
                <w:b/>
              </w:rPr>
            </w:pPr>
            <w:r>
              <w:rPr>
                <w:b/>
              </w:rPr>
              <w:t>Industry</w:t>
            </w:r>
          </w:p>
        </w:tc>
        <w:tc>
          <w:tcPr>
            <w:tcW w:w="90" w:type="dxa"/>
            <w:tcBorders/>
            <w:tcMar>
              <w:bottom w:w="0" w:type="dxa"/>
            </w:tcMar>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jc w:val="left"/>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12" w:space="0" w:color="000000"/>
            </w:tcBorders>
            <w:vAlign w:val="center"/>
          </w:tcPr>
          <w:p>
            <w:pPr>
              <w:pStyle w:val="TableContents"/>
              <w:bidi w:val="0"/>
              <w:spacing w:before="0" w:after="283"/>
              <w:jc w:val="center"/>
              <w:rPr>
                <w:b/>
              </w:rPr>
            </w:pPr>
            <w:r>
              <w:rPr>
                <w:b/>
              </w:rPr>
              <w:t>% of Net</w:t>
              <w:br/>
              <w:t>Assets</w:t>
            </w:r>
            <w:r>
              <w:rPr>
                <w:b/>
                <w:position w:val="8"/>
                <w:sz w:val="19"/>
              </w:rPr>
              <w:t>(5)</w:t>
            </w:r>
          </w:p>
        </w:tc>
        <w:tc>
          <w:tcPr>
            <w:tcW w:w="335" w:type="dxa"/>
            <w:tcBorders/>
            <w:tcMar>
              <w:bottom w:w="0" w:type="dxa"/>
            </w:tcMar>
            <w:vAlign w:val="center"/>
          </w:tcPr>
          <w:p>
            <w:pPr>
              <w:pStyle w:val="TableContents"/>
              <w:bidi w:val="0"/>
              <w:spacing w:before="0" w:after="283"/>
              <w:jc w:val="left"/>
              <w:rPr/>
            </w:pPr>
            <w:r>
              <w:rPr/>
              <w:t> </w:t>
            </w:r>
          </w:p>
        </w:tc>
      </w:tr>
      <w:tr>
        <w:trPr/>
        <w:tc>
          <w:tcPr>
            <w:tcW w:w="2380" w:type="dxa"/>
            <w:gridSpan w:val="4"/>
            <w:tcBorders/>
            <w:tcMar>
              <w:bottom w:w="0" w:type="dxa"/>
            </w:tcMar>
            <w:vAlign w:val="center"/>
          </w:tcPr>
          <w:p>
            <w:pPr>
              <w:pStyle w:val="TableContents"/>
              <w:bidi w:val="0"/>
              <w:spacing w:before="0" w:after="283"/>
              <w:jc w:val="left"/>
              <w:rPr>
                <w:b/>
                <w:u w:val="single"/>
              </w:rPr>
            </w:pPr>
            <w:r>
              <w:rPr>
                <w:b/>
                <w:u w:val="single"/>
              </w:rPr>
              <w:t>Affiliated Investments:</w:t>
            </w:r>
            <w:r>
              <w:rPr>
                <w:b/>
                <w:position w:val="8"/>
                <w:sz w:val="19"/>
                <w:u w:val="single"/>
              </w:rPr>
              <w:t>(6)</w:t>
            </w:r>
          </w:p>
        </w:tc>
        <w:tc>
          <w:tcPr>
            <w:tcW w:w="12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00" w:type="dxa"/>
            <w:gridSpan w:val="2"/>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Advocates for Disabled Vets, LLC (dba Reps for Vets)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Services: Consumer</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12% Senior Secured First Lien Term Loan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3/7/2030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8,932,500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8,770,471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8,798,513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5.47</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Equity - 3,375,000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3,375,000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3,359,511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2.09</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12,307,500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12,145,471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12,158,024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7.56</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FST Holdings Parent,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High Tech Industries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Equity - 625,548 Class A Units(17)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10,960,741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6.82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625,548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10,008,289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10,960,741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6.82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MB Precision Investment Holdings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Aerospace &amp; Defense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Senior Secured First Lien Term Loan(SOFR + CSA + 8.00%, 4.00% Floor)(20)(24)(27)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9/30/2028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6,843,380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6,696,228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6,398,561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3.98</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Senior Secured Delayed Draw Term Loan(SOFR + CSA + 10.00%, 4.00% Floor)(8)(20)(24)(27)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10/1/2028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505,470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468,621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490,306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0.30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Senior Secured First Lien Revolver(SOFR + CSA + 8.00%, 4.00% Floor)(8)(12)(20)(24)(27)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9/30/2028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2,112,671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2,077,048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1,975,347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1.23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Equity - Class E Preferred Units(21)(27)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4,106,076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3,167,157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2,725,408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shd w:fill="CCEEFF" w:val="clear"/>
            <w:tcMar>
              <w:bottom w:w="0" w:type="dxa"/>
            </w:tcMar>
            <w:vAlign w:val="center"/>
          </w:tcPr>
          <w:p>
            <w:pPr>
              <w:pStyle w:val="TableContents"/>
              <w:bidi w:val="0"/>
              <w:spacing w:before="0" w:after="283"/>
              <w:jc w:val="left"/>
              <w:rPr/>
            </w:pPr>
            <w:r>
              <w:rPr/>
              <w:t> </w:t>
            </w:r>
          </w:p>
        </w:tc>
        <w:tc>
          <w:tcPr>
            <w:tcW w:w="838" w:type="dxa"/>
            <w:tcBorders/>
            <w:shd w:fill="CCEEFF" w:val="clear"/>
            <w:tcMar>
              <w:bottom w:w="0" w:type="dxa"/>
            </w:tcMar>
            <w:vAlign w:val="center"/>
          </w:tcPr>
          <w:p>
            <w:pPr>
              <w:pStyle w:val="TableContents"/>
              <w:bidi w:val="0"/>
              <w:spacing w:before="0" w:after="283"/>
              <w:jc w:val="right"/>
              <w:rPr/>
            </w:pPr>
            <w:r>
              <w:rPr/>
              <w:t>1.70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Warrants - 2.28% of Outstanding Equity(21)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3,380,282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827,409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673,018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0.42</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16,947,879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13,236,463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pPr>
            <w:r>
              <w:rPr/>
              <w:t>12,262,640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pPr>
            <w:r>
              <w:rPr/>
              <w:t>7.63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7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7" w:type="dxa"/>
            <w:tcBorders/>
            <w:tcMar>
              <w:bottom w:w="0" w:type="dxa"/>
            </w:tcMar>
            <w:vAlign w:val="center"/>
          </w:tcPr>
          <w:p>
            <w:pPr>
              <w:pStyle w:val="TableContents"/>
              <w:bidi w:val="0"/>
              <w:spacing w:before="0" w:after="283"/>
              <w:jc w:val="left"/>
              <w:rPr/>
            </w:pPr>
            <w:r>
              <w:rPr/>
              <w:t> </w:t>
            </w:r>
          </w:p>
        </w:tc>
        <w:tc>
          <w:tcPr>
            <w:tcW w:w="838"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3585" w:type="dxa"/>
            <w:gridSpan w:val="5"/>
            <w:tcBorders/>
            <w:shd w:fill="CCEEFF" w:val="clear"/>
            <w:tcMar>
              <w:bottom w:w="0" w:type="dxa"/>
            </w:tcMar>
            <w:vAlign w:val="center"/>
          </w:tcPr>
          <w:p>
            <w:pPr>
              <w:pStyle w:val="TableContents"/>
              <w:bidi w:val="0"/>
              <w:spacing w:before="0" w:after="283"/>
              <w:jc w:val="left"/>
              <w:rPr>
                <w:b/>
              </w:rPr>
            </w:pPr>
            <w:r>
              <w:rPr>
                <w:b/>
              </w:rPr>
              <w:t>Subtotal Affiliated Investments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29,880,927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35,390,223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130" w:type="dxa"/>
            <w:tcBorders>
              <w:bottom w:val="single" w:sz="12" w:space="0" w:color="000000"/>
            </w:tcBorders>
            <w:shd w:fill="CCEEFF" w:val="clear"/>
            <w:vAlign w:val="center"/>
          </w:tcPr>
          <w:p>
            <w:pPr>
              <w:pStyle w:val="TableContents"/>
              <w:bidi w:val="0"/>
              <w:spacing w:before="0" w:after="283"/>
              <w:jc w:val="right"/>
              <w:rPr>
                <w:b/>
              </w:rPr>
            </w:pPr>
            <w:r>
              <w:rPr>
                <w:b/>
              </w:rPr>
              <w:t>35,381,405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12" w:space="0" w:color="000000"/>
            </w:tcBorders>
            <w:shd w:fill="CCEEFF" w:val="clear"/>
            <w:vAlign w:val="center"/>
          </w:tcPr>
          <w:p>
            <w:pPr>
              <w:pStyle w:val="TableContents"/>
              <w:bidi w:val="0"/>
              <w:spacing w:before="0" w:after="283"/>
              <w:jc w:val="left"/>
              <w:rPr/>
            </w:pPr>
            <w:r>
              <w:rPr/>
              <w:t> </w:t>
            </w:r>
          </w:p>
        </w:tc>
        <w:tc>
          <w:tcPr>
            <w:tcW w:w="838" w:type="dxa"/>
            <w:tcBorders>
              <w:bottom w:val="single" w:sz="12" w:space="0" w:color="000000"/>
            </w:tcBorders>
            <w:shd w:fill="CCEEFF" w:val="clear"/>
            <w:vAlign w:val="center"/>
          </w:tcPr>
          <w:p>
            <w:pPr>
              <w:pStyle w:val="TableContents"/>
              <w:bidi w:val="0"/>
              <w:spacing w:before="0" w:after="283"/>
              <w:jc w:val="right"/>
              <w:rPr>
                <w:b/>
              </w:rPr>
            </w:pPr>
            <w:r>
              <w:rPr>
                <w:b/>
              </w:rPr>
              <w:t>22.01</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ind w:left="0" w:right="0" w:hanging="0"/>
        <w:jc w:val="center"/>
        <w:rPr>
          <w:caps w:val="false"/>
          <w:smallCaps w:val="false"/>
        </w:rPr>
      </w:pPr>
      <w:r>
        <w:rPr>
          <w:caps w:val="false"/>
          <w:smallCaps w:val="false"/>
        </w:rPr>
        <w:t> </w:t>
      </w:r>
    </w:p>
    <w:tbl>
      <w:tblPr>
        <w:tblW w:w="10825" w:type="dxa"/>
        <w:jc w:val="left"/>
        <w:tblInd w:w="0" w:type="dxa"/>
        <w:tblLayout w:type="fixed"/>
        <w:tblCellMar>
          <w:top w:w="0" w:type="dxa"/>
          <w:left w:w="0" w:type="dxa"/>
          <w:bottom w:w="28" w:type="dxa"/>
          <w:right w:w="0" w:type="dxa"/>
        </w:tblCellMar>
      </w:tblPr>
      <w:tblGrid>
        <w:gridCol w:w="1130"/>
        <w:gridCol w:w="90"/>
        <w:gridCol w:w="995"/>
        <w:gridCol w:w="90"/>
        <w:gridCol w:w="1265"/>
        <w:gridCol w:w="90"/>
        <w:gridCol w:w="965"/>
        <w:gridCol w:w="90"/>
        <w:gridCol w:w="90"/>
        <w:gridCol w:w="1250"/>
        <w:gridCol w:w="90"/>
        <w:gridCol w:w="90"/>
        <w:gridCol w:w="170"/>
        <w:gridCol w:w="1250"/>
        <w:gridCol w:w="90"/>
        <w:gridCol w:w="90"/>
        <w:gridCol w:w="170"/>
        <w:gridCol w:w="1250"/>
        <w:gridCol w:w="90"/>
        <w:gridCol w:w="90"/>
        <w:gridCol w:w="90"/>
        <w:gridCol w:w="965"/>
        <w:gridCol w:w="335"/>
      </w:tblGrid>
      <w:tr>
        <w:trPr/>
        <w:tc>
          <w:tcPr>
            <w:tcW w:w="1130" w:type="dxa"/>
            <w:tcBorders>
              <w:bottom w:val="single" w:sz="12" w:space="0" w:color="000000"/>
            </w:tcBorders>
            <w:vAlign w:val="center"/>
          </w:tcPr>
          <w:p>
            <w:pPr>
              <w:pStyle w:val="TableContents"/>
              <w:bidi w:val="0"/>
              <w:spacing w:before="0" w:after="283"/>
              <w:ind w:left="0" w:right="0" w:hanging="0"/>
              <w:jc w:val="left"/>
              <w:rPr>
                <w:b/>
              </w:rPr>
            </w:pPr>
            <w:r>
              <w:rPr>
                <w:b/>
              </w:rPr>
              <w:t>Company</w:t>
            </w:r>
            <w:r>
              <w:rPr>
                <w:b/>
                <w:position w:val="8"/>
                <w:sz w:val="19"/>
              </w:rPr>
              <w:t>(1)</w:t>
            </w:r>
          </w:p>
        </w:tc>
        <w:tc>
          <w:tcPr>
            <w:tcW w:w="90" w:type="dxa"/>
            <w:tcBorders/>
            <w:tcMar>
              <w:bottom w:w="0" w:type="dxa"/>
            </w:tcMar>
            <w:vAlign w:val="center"/>
          </w:tcPr>
          <w:p>
            <w:pPr>
              <w:pStyle w:val="TableContents"/>
              <w:bidi w:val="0"/>
              <w:spacing w:before="0" w:after="283"/>
              <w:ind w:left="0" w:right="0" w:hanging="0"/>
              <w:jc w:val="center"/>
              <w:rPr/>
            </w:pPr>
            <w:r>
              <w:rPr/>
              <w:t> </w:t>
            </w:r>
          </w:p>
        </w:tc>
        <w:tc>
          <w:tcPr>
            <w:tcW w:w="995" w:type="dxa"/>
            <w:tcBorders>
              <w:bottom w:val="single" w:sz="12" w:space="0" w:color="000000"/>
            </w:tcBorders>
            <w:vAlign w:val="center"/>
          </w:tcPr>
          <w:p>
            <w:pPr>
              <w:pStyle w:val="TableContents"/>
              <w:bidi w:val="0"/>
              <w:spacing w:before="0" w:after="283"/>
              <w:jc w:val="center"/>
              <w:rPr>
                <w:b/>
              </w:rPr>
            </w:pPr>
            <w:r>
              <w:rPr>
                <w:b/>
              </w:rPr>
              <w:t>Industry</w:t>
            </w:r>
          </w:p>
        </w:tc>
        <w:tc>
          <w:tcPr>
            <w:tcW w:w="90" w:type="dxa"/>
            <w:tcBorders/>
            <w:tcMar>
              <w:bottom w:w="0" w:type="dxa"/>
            </w:tcMar>
            <w:vAlign w:val="center"/>
          </w:tcPr>
          <w:p>
            <w:pPr>
              <w:pStyle w:val="TableContents"/>
              <w:bidi w:val="0"/>
              <w:spacing w:before="0" w:after="283"/>
              <w:ind w:left="0" w:right="0" w:hanging="0"/>
              <w:jc w:val="center"/>
              <w:rPr/>
            </w:pPr>
            <w:r>
              <w:rPr/>
              <w:t> </w:t>
            </w:r>
          </w:p>
        </w:tc>
        <w:tc>
          <w:tcPr>
            <w:tcW w:w="1265" w:type="dxa"/>
            <w:tcBorders>
              <w:bottom w:val="single" w:sz="12" w:space="0" w:color="000000"/>
            </w:tcBorders>
            <w:vAlign w:val="center"/>
          </w:tcPr>
          <w:p>
            <w:pPr>
              <w:pStyle w:val="TableContents"/>
              <w:bidi w:val="0"/>
              <w:spacing w:before="0" w:after="283"/>
              <w:jc w:val="center"/>
              <w:rPr>
                <w:b/>
              </w:rPr>
            </w:pPr>
            <w:r>
              <w:rPr>
                <w:b/>
              </w:rPr>
              <w:t>Type of Investment</w:t>
            </w:r>
          </w:p>
        </w:tc>
        <w:tc>
          <w:tcPr>
            <w:tcW w:w="90" w:type="dxa"/>
            <w:tcBorders/>
            <w:tcMar>
              <w:bottom w:w="0" w:type="dxa"/>
            </w:tcMar>
            <w:vAlign w:val="center"/>
          </w:tcPr>
          <w:p>
            <w:pPr>
              <w:pStyle w:val="TableContents"/>
              <w:bidi w:val="0"/>
              <w:spacing w:before="0" w:after="283"/>
              <w:ind w:left="0" w:right="0" w:hanging="0"/>
              <w:jc w:val="center"/>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Maturity</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250" w:type="dxa"/>
            <w:tcBorders>
              <w:bottom w:val="single" w:sz="12" w:space="0" w:color="000000"/>
            </w:tcBorders>
            <w:vAlign w:val="center"/>
          </w:tcPr>
          <w:p>
            <w:pPr>
              <w:pStyle w:val="TableContents"/>
              <w:bidi w:val="0"/>
              <w:spacing w:before="0" w:after="283"/>
              <w:jc w:val="center"/>
              <w:rPr>
                <w:b/>
              </w:rPr>
            </w:pPr>
            <w:r>
              <w:rPr>
                <w:b/>
              </w:rPr>
              <w:t>Par Amount/</w:t>
              <w:br/>
              <w:t>Shares/Units</w:t>
            </w:r>
            <w:r>
              <w:rPr>
                <w:b/>
                <w:position w:val="8"/>
                <w:sz w:val="19"/>
              </w:rPr>
              <w:t>(2)</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center"/>
              <w:rPr/>
            </w:pPr>
            <w:r>
              <w:rPr/>
              <w:t> </w:t>
            </w:r>
          </w:p>
        </w:tc>
        <w:tc>
          <w:tcPr>
            <w:tcW w:w="1250" w:type="dxa"/>
            <w:tcBorders>
              <w:bottom w:val="single" w:sz="12" w:space="0" w:color="000000"/>
            </w:tcBorders>
            <w:vAlign w:val="center"/>
          </w:tcPr>
          <w:p>
            <w:pPr>
              <w:pStyle w:val="TableContents"/>
              <w:bidi w:val="0"/>
              <w:spacing w:before="0" w:after="283"/>
              <w:jc w:val="center"/>
              <w:rPr>
                <w:b/>
              </w:rPr>
            </w:pPr>
            <w:r>
              <w:rPr>
                <w:b/>
              </w:rPr>
              <w:t xml:space="preserve">Amortized </w:t>
              <w:br/>
              <w:t>Cost</w:t>
            </w:r>
            <w:r>
              <w:rPr>
                <w:b/>
                <w:position w:val="8"/>
                <w:sz w:val="19"/>
              </w:rPr>
              <w:t>(3)</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center"/>
              <w:rPr/>
            </w:pPr>
            <w:r>
              <w:rPr/>
              <w:t> </w:t>
            </w:r>
          </w:p>
        </w:tc>
        <w:tc>
          <w:tcPr>
            <w:tcW w:w="1250" w:type="dxa"/>
            <w:tcBorders>
              <w:bottom w:val="single" w:sz="12" w:space="0" w:color="000000"/>
            </w:tcBorders>
            <w:vAlign w:val="center"/>
          </w:tcPr>
          <w:p>
            <w:pPr>
              <w:pStyle w:val="TableContents"/>
              <w:bidi w:val="0"/>
              <w:spacing w:before="0" w:after="283"/>
              <w:jc w:val="center"/>
              <w:rPr>
                <w:b/>
              </w:rPr>
            </w:pPr>
            <w:r>
              <w:rPr>
                <w:b/>
              </w:rPr>
              <w:t xml:space="preserve">Fair </w:t>
              <w:br/>
              <w:t>Value</w:t>
            </w:r>
            <w:r>
              <w:rPr>
                <w:b/>
                <w:position w:val="8"/>
                <w:sz w:val="19"/>
              </w:rPr>
              <w:t>(4)</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b/>
              </w:rPr>
            </w:pPr>
            <w:r>
              <w:rPr>
                <w:b/>
              </w:rPr>
              <w:t>% of Net</w:t>
              <w:br/>
              <w:t>Assets</w:t>
            </w:r>
            <w:r>
              <w:rPr>
                <w:b/>
                <w:position w:val="8"/>
                <w:sz w:val="19"/>
              </w:rPr>
              <w:t>(5)</w:t>
            </w:r>
            <w:r>
              <w:rPr>
                <w:b/>
              </w:rPr>
              <w:t xml:space="preserve"> </w:t>
            </w:r>
          </w:p>
        </w:tc>
        <w:tc>
          <w:tcPr>
            <w:tcW w:w="335" w:type="dxa"/>
            <w:tcBorders/>
            <w:tcMar>
              <w:bottom w:w="0" w:type="dxa"/>
            </w:tcMar>
            <w:vAlign w:val="center"/>
          </w:tcPr>
          <w:p>
            <w:pPr>
              <w:pStyle w:val="TableContents"/>
              <w:bidi w:val="0"/>
              <w:spacing w:before="0" w:after="283"/>
              <w:jc w:val="center"/>
              <w:rPr/>
            </w:pPr>
            <w:r>
              <w:rPr/>
              <w:t> </w:t>
            </w:r>
          </w:p>
        </w:tc>
      </w:tr>
      <w:tr>
        <w:trPr/>
        <w:tc>
          <w:tcPr>
            <w:tcW w:w="3570" w:type="dxa"/>
            <w:gridSpan w:val="5"/>
            <w:tcBorders/>
            <w:tcMar>
              <w:bottom w:w="0" w:type="dxa"/>
            </w:tcMar>
            <w:vAlign w:val="center"/>
          </w:tcPr>
          <w:p>
            <w:pPr>
              <w:pStyle w:val="TableContents"/>
              <w:bidi w:val="0"/>
              <w:spacing w:before="0" w:after="283"/>
              <w:jc w:val="left"/>
              <w:rPr>
                <w:b/>
                <w:u w:val="single"/>
              </w:rPr>
            </w:pPr>
            <w:r>
              <w:rPr>
                <w:b/>
                <w:u w:val="single"/>
              </w:rPr>
              <w:t>Controlled Investments:(7)</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3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2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5" w:type="dxa"/>
            <w:gridSpan w:val="2"/>
            <w:tcBorders/>
            <w:tcMar>
              <w:bottom w:w="0" w:type="dxa"/>
            </w:tcMar>
            <w:vAlign w:val="center"/>
          </w:tcPr>
          <w:p>
            <w:pPr>
              <w:pStyle w:val="TableContents"/>
              <w:bidi w:val="0"/>
              <w:spacing w:before="0" w:after="283"/>
              <w:jc w:val="lef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ECC Capital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Real Estate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- 84,000,000 Units(13)(21)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84,000,000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4,257,002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250" w:type="dxa"/>
            <w:tcBorders/>
            <w:shd w:fill="CCEEFF" w:val="clear"/>
            <w:tcMar>
              <w:bottom w:w="0" w:type="dxa"/>
            </w:tcMar>
            <w:vAlign w:val="center"/>
          </w:tcPr>
          <w:p>
            <w:pPr>
              <w:pStyle w:val="TableContents"/>
              <w:bidi w:val="0"/>
              <w:spacing w:before="0" w:after="283"/>
              <w:jc w:val="right"/>
              <w:rPr/>
            </w:pPr>
            <w:r>
              <w:rPr/>
              <w:t>6,636,000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4.13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Promissory Note (SOFR + 5.00%, 0.00% Floor)(24)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pPr>
            <w:r>
              <w:rPr/>
              <w:t>4.35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90,997,012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11,254,014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13,633,012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8.48</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FlexFIN,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Services: Business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Interest</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pPr>
            <w:r>
              <w:rPr/>
              <w:t>23.13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23.13</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NSG Captive,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Insurance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- 100,000 Units(9)(21)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49,255,076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48,469,540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pPr>
            <w:r>
              <w:rPr/>
              <w:t>30.15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49,255,076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48,469,540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30.15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1130" w:type="dxa"/>
            <w:tcBorders/>
            <w:shd w:fill="CCEEFF" w:val="clear"/>
            <w:tcMar>
              <w:bottom w:w="0" w:type="dxa"/>
            </w:tcMar>
            <w:vAlign w:val="center"/>
          </w:tcPr>
          <w:p>
            <w:pPr>
              <w:pStyle w:val="TableContents"/>
              <w:bidi w:val="0"/>
              <w:spacing w:before="0" w:after="283"/>
              <w:jc w:val="left"/>
              <w:rPr/>
            </w:pPr>
            <w:r>
              <w:rPr/>
              <w:t>NVTN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Hotel, Gaming &amp; Leisure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Revolving Note (SOFR + 7.00%, 2.00% Floor)(23)</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9,029,539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5.54</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B  (AFR)(26)</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17,552,420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13,916,082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13,427,601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8.35</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Senior Secured First Lien Term Loan C (SOFR + 12.00% PIK, 2.00% Floor)(10)</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12/31/2026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11,506,159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right"/>
              <w:rPr/>
            </w:pPr>
            <w:r>
              <w:rPr/>
              <w:t>7,570,055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right"/>
              <w:rPr/>
            </w:pPr>
            <w:r>
              <w:rPr/>
              <w:t>0.00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Equity - 1,000 Class A Units(21)</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21,450,924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pPr>
            <w:r>
              <w:rPr/>
              <w:t>0.00</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12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37,959,579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51,966,600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pPr>
            <w:r>
              <w:rPr/>
              <w:t>22,327,601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pPr>
            <w:r>
              <w:rPr/>
              <w:t>13.89</w:t>
            </w:r>
          </w:p>
        </w:tc>
        <w:tc>
          <w:tcPr>
            <w:tcW w:w="335"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3570" w:type="dxa"/>
            <w:gridSpan w:val="5"/>
            <w:tcBorders/>
            <w:shd w:fill="CCEEFF" w:val="clear"/>
            <w:tcMar>
              <w:bottom w:w="0" w:type="dxa"/>
            </w:tcMar>
            <w:vAlign w:val="center"/>
          </w:tcPr>
          <w:p>
            <w:pPr>
              <w:pStyle w:val="TableContents"/>
              <w:bidi w:val="0"/>
              <w:spacing w:before="0" w:after="283"/>
              <w:jc w:val="left"/>
              <w:rPr>
                <w:b/>
              </w:rPr>
            </w:pPr>
            <w:r>
              <w:rPr>
                <w:b/>
              </w:rPr>
              <w:t>Subtotal Control Investments</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96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166,237,352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149,656,451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shd w:fill="CCEEFF" w:val="clear"/>
            <w:vAlign w:val="center"/>
          </w:tcPr>
          <w:p>
            <w:pPr>
              <w:pStyle w:val="TableContents"/>
              <w:bidi w:val="0"/>
              <w:spacing w:before="0" w:after="283"/>
              <w:jc w:val="left"/>
              <w:rPr>
                <w:b/>
              </w:rPr>
            </w:pPr>
            <w:r>
              <w:rPr>
                <w:b/>
              </w:rPr>
              <w:t>$</w:t>
            </w:r>
          </w:p>
        </w:tc>
        <w:tc>
          <w:tcPr>
            <w:tcW w:w="1250" w:type="dxa"/>
            <w:tcBorders>
              <w:bottom w:val="single" w:sz="12" w:space="0" w:color="000000"/>
            </w:tcBorders>
            <w:shd w:fill="CCEEFF" w:val="clear"/>
            <w:vAlign w:val="center"/>
          </w:tcPr>
          <w:p>
            <w:pPr>
              <w:pStyle w:val="TableContents"/>
              <w:bidi w:val="0"/>
              <w:spacing w:before="0" w:after="283"/>
              <w:jc w:val="right"/>
              <w:rPr>
                <w:b/>
              </w:rPr>
            </w:pPr>
            <w:r>
              <w:rPr>
                <w:b/>
              </w:rPr>
              <w:t>121,610,914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965" w:type="dxa"/>
            <w:tcBorders>
              <w:bottom w:val="single" w:sz="12" w:space="0" w:color="000000"/>
            </w:tcBorders>
            <w:shd w:fill="CCEEFF" w:val="clear"/>
            <w:vAlign w:val="center"/>
          </w:tcPr>
          <w:p>
            <w:pPr>
              <w:pStyle w:val="TableContents"/>
              <w:bidi w:val="0"/>
              <w:spacing w:before="0" w:after="283"/>
              <w:jc w:val="right"/>
              <w:rPr>
                <w:b/>
              </w:rPr>
            </w:pPr>
            <w:r>
              <w:rPr>
                <w:b/>
              </w:rPr>
              <w:t>75.65</w:t>
            </w:r>
          </w:p>
        </w:tc>
        <w:tc>
          <w:tcPr>
            <w:tcW w:w="335" w:type="dxa"/>
            <w:tcBorders/>
            <w:shd w:fill="CCEEFF" w:val="clear"/>
            <w:tcMar>
              <w:bottom w:w="0" w:type="dxa"/>
            </w:tcMar>
            <w:vAlign w:val="center"/>
          </w:tcPr>
          <w:p>
            <w:pPr>
              <w:pStyle w:val="TableContents"/>
              <w:bidi w:val="0"/>
              <w:spacing w:before="0" w:after="283"/>
              <w:ind w:left="0" w:right="0" w:hanging="0"/>
              <w:jc w:val="left"/>
              <w:rPr>
                <w:b/>
              </w:rPr>
            </w:pPr>
            <w:r>
              <w:rPr>
                <w:b/>
              </w:rPr>
              <w:t>%</w:t>
            </w:r>
          </w:p>
        </w:tc>
      </w:tr>
      <w:tr>
        <w:trPr/>
        <w:tc>
          <w:tcPr>
            <w:tcW w:w="113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9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right"/>
              <w:rPr/>
            </w:pPr>
            <w:r>
              <w:rPr/>
              <w:t> </w:t>
            </w:r>
          </w:p>
        </w:tc>
        <w:tc>
          <w:tcPr>
            <w:tcW w:w="335" w:type="dxa"/>
            <w:tcBorders/>
            <w:tcMar>
              <w:bottom w:w="0" w:type="dxa"/>
            </w:tcMar>
            <w:vAlign w:val="center"/>
          </w:tcPr>
          <w:p>
            <w:pPr>
              <w:pStyle w:val="TableContents"/>
              <w:bidi w:val="0"/>
              <w:spacing w:before="0" w:after="283"/>
              <w:ind w:left="0" w:right="0" w:hanging="0"/>
              <w:jc w:val="left"/>
              <w:rPr/>
            </w:pPr>
            <w:r>
              <w:rPr/>
              <w:t> </w:t>
            </w:r>
          </w:p>
        </w:tc>
      </w:tr>
      <w:tr>
        <w:trPr/>
        <w:tc>
          <w:tcPr>
            <w:tcW w:w="4625" w:type="dxa"/>
            <w:gridSpan w:val="7"/>
            <w:tcBorders/>
            <w:shd w:fill="CCEEFF" w:val="clear"/>
            <w:tcMar>
              <w:bottom w:w="0" w:type="dxa"/>
            </w:tcMar>
            <w:vAlign w:val="center"/>
          </w:tcPr>
          <w:p>
            <w:pPr>
              <w:pStyle w:val="TableContents"/>
              <w:bidi w:val="0"/>
              <w:spacing w:before="0" w:after="283"/>
              <w:jc w:val="left"/>
              <w:rPr>
                <w:b/>
              </w:rPr>
            </w:pPr>
            <w:r>
              <w:rPr>
                <w:b/>
              </w:rPr>
              <w:t>Total Investments, September 30,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300,530,345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324,389,165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50" w:type="dxa"/>
            <w:tcBorders>
              <w:bottom w:val="double" w:sz="10" w:space="0" w:color="000000"/>
            </w:tcBorders>
            <w:shd w:fill="CCEEFF" w:val="clear"/>
            <w:vAlign w:val="center"/>
          </w:tcPr>
          <w:p>
            <w:pPr>
              <w:pStyle w:val="TableContents"/>
              <w:bidi w:val="0"/>
              <w:spacing w:before="0" w:after="283"/>
              <w:jc w:val="right"/>
              <w:rPr>
                <w:b/>
              </w:rPr>
            </w:pPr>
            <w:r>
              <w:rPr>
                <w:b/>
              </w:rPr>
              <w:t>302,272,488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shd w:fill="CCEEFF" w:val="clear"/>
            <w:vAlign w:val="center"/>
          </w:tcPr>
          <w:p>
            <w:pPr>
              <w:pStyle w:val="TableContents"/>
              <w:bidi w:val="0"/>
              <w:spacing w:before="0" w:after="283"/>
              <w:jc w:val="left"/>
              <w:rPr/>
            </w:pPr>
            <w:r>
              <w:rPr/>
              <w:t> </w:t>
            </w:r>
          </w:p>
        </w:tc>
        <w:tc>
          <w:tcPr>
            <w:tcW w:w="965" w:type="dxa"/>
            <w:tcBorders>
              <w:bottom w:val="double" w:sz="10" w:space="0" w:color="000000"/>
            </w:tcBorders>
            <w:shd w:fill="CCEEFF" w:val="clear"/>
            <w:vAlign w:val="center"/>
          </w:tcPr>
          <w:p>
            <w:pPr>
              <w:pStyle w:val="TableContents"/>
              <w:bidi w:val="0"/>
              <w:spacing w:before="0" w:after="283"/>
              <w:jc w:val="right"/>
              <w:rPr>
                <w:b/>
              </w:rPr>
            </w:pPr>
            <w:r>
              <w:rPr>
                <w:b/>
              </w:rPr>
              <w:t>188.01</w:t>
            </w:r>
          </w:p>
        </w:tc>
        <w:tc>
          <w:tcPr>
            <w:tcW w:w="33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Schedule of Investments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osition w:val="8"/>
                <w:sz w:val="19"/>
              </w:rPr>
            </w:pPr>
            <w:r>
              <w:rPr>
                <w:position w:val="8"/>
                <w:sz w:val="19"/>
              </w:rPr>
              <w:t>(1)</w:t>
            </w:r>
          </w:p>
        </w:tc>
        <w:tc>
          <w:tcPr>
            <w:tcW w:w="9927" w:type="dxa"/>
            <w:tcBorders/>
            <w:vAlign w:val="center"/>
          </w:tcPr>
          <w:p>
            <w:pPr>
              <w:pStyle w:val="TableContents"/>
              <w:bidi w:val="0"/>
              <w:spacing w:before="0" w:after="283"/>
              <w:jc w:val="both"/>
              <w:rPr/>
            </w:pPr>
            <w:r>
              <w:rPr/>
              <w:t>Substantially all of our investments are domiciled in the United States. Certain investments also have international operations.</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osition w:val="8"/>
                <w:sz w:val="19"/>
              </w:rPr>
            </w:pPr>
            <w:r>
              <w:rPr>
                <w:position w:val="8"/>
                <w:sz w:val="19"/>
              </w:rPr>
              <w:t>(2)</w:t>
            </w:r>
          </w:p>
        </w:tc>
        <w:tc>
          <w:tcPr>
            <w:tcW w:w="9957" w:type="dxa"/>
            <w:tcBorders/>
            <w:vAlign w:val="center"/>
          </w:tcPr>
          <w:p>
            <w:pPr>
              <w:pStyle w:val="TableContents"/>
              <w:bidi w:val="0"/>
              <w:spacing w:before="0" w:after="283"/>
              <w:jc w:val="both"/>
              <w:rPr/>
            </w:pPr>
            <w:r>
              <w:rPr/>
              <w:t>Par amount is presented for debt investments and the amount includes accumulated payment-in-kind (“PIK”) interest, as applicable, and is net of repayments, while the number of shares or units owned is presented for equity investments. Par amount is denominated in U.S. Dollars (“$”) unless otherwise noted.</w:t>
            </w:r>
          </w:p>
        </w:tc>
      </w:tr>
    </w:tbl>
    <w:tbl>
      <w:tblPr>
        <w:tblW w:w="8718" w:type="dxa"/>
        <w:jc w:val="left"/>
        <w:tblInd w:w="0" w:type="dxa"/>
        <w:tblLayout w:type="fixed"/>
        <w:tblCellMar>
          <w:top w:w="0" w:type="dxa"/>
          <w:left w:w="0" w:type="dxa"/>
          <w:bottom w:w="0" w:type="dxa"/>
          <w:right w:w="0" w:type="dxa"/>
        </w:tblCellMar>
      </w:tblPr>
      <w:tblGrid>
        <w:gridCol w:w="68"/>
        <w:gridCol w:w="275"/>
        <w:gridCol w:w="837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(3)</w:t>
            </w:r>
          </w:p>
        </w:tc>
        <w:tc>
          <w:tcPr>
            <w:tcW w:w="8375" w:type="dxa"/>
            <w:tcBorders/>
            <w:vAlign w:val="center"/>
          </w:tcPr>
          <w:p>
            <w:pPr>
              <w:pStyle w:val="TableContents"/>
              <w:bidi w:val="0"/>
              <w:spacing w:before="0" w:after="283"/>
              <w:jc w:val="both"/>
              <w:rPr/>
            </w:pPr>
            <w:r>
              <w:rPr/>
              <w:t>Net unrealized depreciation for U.S. federal income tax purposes totaled $(22,116,677).</w:t>
            </w:r>
          </w:p>
        </w:tc>
      </w:tr>
    </w:tbl>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cost basis of investments is $324,389,165 as of September 30, 2025.</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amortized cost represents the original cost adjusted for the amortization or accretion of premium or discount, as applicable, on debt investments using the effective interest method.</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osition w:val="8"/>
                <w:sz w:val="19"/>
              </w:rPr>
            </w:pPr>
            <w:r>
              <w:rPr>
                <w:position w:val="8"/>
                <w:sz w:val="19"/>
              </w:rPr>
              <w:t>(4)</w:t>
            </w:r>
          </w:p>
        </w:tc>
        <w:tc>
          <w:tcPr>
            <w:tcW w:w="9893" w:type="dxa"/>
            <w:tcBorders/>
            <w:vAlign w:val="center"/>
          </w:tcPr>
          <w:p>
            <w:pPr>
              <w:pStyle w:val="TableContents"/>
              <w:bidi w:val="0"/>
              <w:spacing w:before="0" w:after="283"/>
              <w:jc w:val="both"/>
              <w:rPr/>
            </w:pPr>
            <w:r>
              <w:rPr/>
              <w:t>Unless otherwise indicated, all securities are valued using significant unobservable inputs, which are categorized as Level 3 assets under the definition of ASC 820 fair value hierarchy (see Note 4).</w:t>
            </w:r>
          </w:p>
        </w:tc>
      </w:tr>
    </w:tbl>
    <w:tbl>
      <w:tblPr>
        <w:tblW w:w="7698" w:type="dxa"/>
        <w:jc w:val="left"/>
        <w:tblInd w:w="0" w:type="dxa"/>
        <w:tblLayout w:type="fixed"/>
        <w:tblCellMar>
          <w:top w:w="0" w:type="dxa"/>
          <w:left w:w="0" w:type="dxa"/>
          <w:bottom w:w="0" w:type="dxa"/>
          <w:right w:w="0" w:type="dxa"/>
        </w:tblCellMar>
      </w:tblPr>
      <w:tblGrid>
        <w:gridCol w:w="68"/>
        <w:gridCol w:w="275"/>
        <w:gridCol w:w="735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(5)</w:t>
            </w:r>
          </w:p>
        </w:tc>
        <w:tc>
          <w:tcPr>
            <w:tcW w:w="7355" w:type="dxa"/>
            <w:tcBorders/>
            <w:vAlign w:val="center"/>
          </w:tcPr>
          <w:p>
            <w:pPr>
              <w:pStyle w:val="TableContents"/>
              <w:bidi w:val="0"/>
              <w:spacing w:before="0" w:after="283"/>
              <w:jc w:val="both"/>
              <w:rPr/>
            </w:pPr>
            <w:r>
              <w:rPr/>
              <w:t>Percentage is based on net assets of $160,774,300 as of September 30, 2025.</w:t>
            </w:r>
          </w:p>
        </w:tc>
      </w:tr>
    </w:tbl>
    <w:tbl>
      <w:tblPr>
        <w:tblW w:w="10205" w:type="dxa"/>
        <w:jc w:val="left"/>
        <w:tblInd w:w="0" w:type="dxa"/>
        <w:tblLayout w:type="fixed"/>
        <w:tblCellMar>
          <w:top w:w="0" w:type="dxa"/>
          <w:left w:w="0" w:type="dxa"/>
          <w:bottom w:w="0" w:type="dxa"/>
          <w:right w:w="0" w:type="dxa"/>
        </w:tblCellMar>
      </w:tblPr>
      <w:tblGrid>
        <w:gridCol w:w="68"/>
        <w:gridCol w:w="241"/>
        <w:gridCol w:w="9896"/>
      </w:tblGrid>
      <w:tr>
        <w:trPr/>
        <w:tc>
          <w:tcPr>
            <w:tcW w:w="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osition w:val="8"/>
                <w:sz w:val="19"/>
              </w:rPr>
            </w:pPr>
            <w:r>
              <w:rPr>
                <w:position w:val="8"/>
                <w:sz w:val="19"/>
              </w:rPr>
              <w:t>(6)</w:t>
            </w:r>
          </w:p>
        </w:tc>
        <w:tc>
          <w:tcPr>
            <w:tcW w:w="9896" w:type="dxa"/>
            <w:tcBorders/>
            <w:vAlign w:val="center"/>
          </w:tcPr>
          <w:p>
            <w:pPr>
              <w:pStyle w:val="TableContents"/>
              <w:bidi w:val="0"/>
              <w:spacing w:before="0" w:after="283"/>
              <w:jc w:val="both"/>
              <w:rPr/>
            </w:pPr>
            <w:r>
              <w:rPr/>
              <w:t>Affiliated Investments are defined by the 1940 Act as investments in companies in which the Company owns between 5% and 25% outstanding voting securities or is under common control with such portfolio company.</w:t>
            </w:r>
          </w:p>
        </w:tc>
      </w:tr>
    </w:tbl>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osition w:val="8"/>
                <w:sz w:val="19"/>
              </w:rPr>
            </w:pPr>
            <w:r>
              <w:rPr>
                <w:position w:val="8"/>
                <w:sz w:val="19"/>
              </w:rPr>
              <w:t>(7)</w:t>
            </w:r>
          </w:p>
        </w:tc>
        <w:tc>
          <w:tcPr>
            <w:tcW w:w="9901" w:type="dxa"/>
            <w:tcBorders/>
            <w:vAlign w:val="center"/>
          </w:tcPr>
          <w:p>
            <w:pPr>
              <w:pStyle w:val="TableContents"/>
              <w:bidi w:val="0"/>
              <w:spacing w:before="0" w:after="283"/>
              <w:jc w:val="both"/>
              <w:rPr/>
            </w:pPr>
            <w:r>
              <w:rPr/>
              <w:t>Control Investments are defined by the Investment Company Act of 1940, as amended (the “1940 Act”), as investments in companies in which the Company owns more than 25% of the voting securities or maintains greater than 50% of the board representation.</w:t>
            </w:r>
          </w:p>
        </w:tc>
      </w:tr>
    </w:tbl>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osition w:val="8"/>
                <w:sz w:val="19"/>
              </w:rPr>
            </w:pPr>
            <w:r>
              <w:rPr>
                <w:position w:val="8"/>
                <w:sz w:val="19"/>
              </w:rPr>
              <w:t>(8)</w:t>
            </w:r>
          </w:p>
        </w:tc>
        <w:tc>
          <w:tcPr>
            <w:tcW w:w="9908" w:type="dxa"/>
            <w:tcBorders/>
            <w:vAlign w:val="center"/>
          </w:tcPr>
          <w:p>
            <w:pPr>
              <w:pStyle w:val="TableContents"/>
              <w:bidi w:val="0"/>
              <w:spacing w:before="0" w:after="283"/>
              <w:jc w:val="both"/>
              <w:rPr/>
            </w:pPr>
            <w:r>
              <w:rPr/>
              <w:t>The investment has an unfunded commitment as of September 30, 2025 (see Note 8), and fair value includes the value of any unfunded commitments. The negative cost, if applicable, is the result of the capitalized discount being greater than the principal amount outstanding on the loan. The negative fair value, if applicable, is the result of the capitalized discount on the loan.</w:t>
            </w:r>
          </w:p>
        </w:tc>
      </w:tr>
    </w:tbl>
    <w:tbl>
      <w:tblPr>
        <w:tblW w:w="7263" w:type="dxa"/>
        <w:jc w:val="left"/>
        <w:tblInd w:w="0" w:type="dxa"/>
        <w:tblLayout w:type="fixed"/>
        <w:tblCellMar>
          <w:top w:w="0" w:type="dxa"/>
          <w:left w:w="0" w:type="dxa"/>
          <w:bottom w:w="0" w:type="dxa"/>
          <w:right w:w="0" w:type="dxa"/>
        </w:tblCellMar>
      </w:tblPr>
      <w:tblGrid>
        <w:gridCol w:w="68"/>
        <w:gridCol w:w="275"/>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(9)</w:t>
            </w:r>
          </w:p>
        </w:tc>
        <w:tc>
          <w:tcPr>
            <w:tcW w:w="6920" w:type="dxa"/>
            <w:tcBorders/>
            <w:vAlign w:val="center"/>
          </w:tcPr>
          <w:p>
            <w:pPr>
              <w:pStyle w:val="TableContents"/>
              <w:bidi w:val="0"/>
              <w:spacing w:before="0" w:after="283"/>
              <w:jc w:val="both"/>
              <w:rPr/>
            </w:pPr>
            <w:r>
              <w:rPr/>
              <w:t>NSG Captive, Inc. owns 80% of National Security Group Holdings Inc.</w:t>
            </w:r>
          </w:p>
        </w:tc>
      </w:tr>
    </w:tbl>
    <w:tbl>
      <w:tblPr>
        <w:tblW w:w="7023" w:type="dxa"/>
        <w:jc w:val="left"/>
        <w:tblInd w:w="0" w:type="dxa"/>
        <w:tblLayout w:type="fixed"/>
        <w:tblCellMar>
          <w:top w:w="0" w:type="dxa"/>
          <w:left w:w="0" w:type="dxa"/>
          <w:bottom w:w="0" w:type="dxa"/>
          <w:right w:w="0" w:type="dxa"/>
        </w:tblCellMar>
      </w:tblPr>
      <w:tblGrid>
        <w:gridCol w:w="68"/>
        <w:gridCol w:w="38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(10)</w:t>
            </w:r>
          </w:p>
        </w:tc>
        <w:tc>
          <w:tcPr>
            <w:tcW w:w="6575" w:type="dxa"/>
            <w:tcBorders/>
            <w:vAlign w:val="center"/>
          </w:tcPr>
          <w:p>
            <w:pPr>
              <w:pStyle w:val="TableContents"/>
              <w:bidi w:val="0"/>
              <w:spacing w:before="0" w:after="283"/>
              <w:jc w:val="both"/>
              <w:rPr/>
            </w:pPr>
            <w:r>
              <w:rPr/>
              <w:t>The investment was on non-accrual status as of September 30, 2025.</w:t>
            </w:r>
          </w:p>
        </w:tc>
      </w:tr>
    </w:tbl>
    <w:tbl>
      <w:tblPr>
        <w:tblW w:w="10205" w:type="dxa"/>
        <w:jc w:val="left"/>
        <w:tblInd w:w="0" w:type="dxa"/>
        <w:tblLayout w:type="fixed"/>
        <w:tblCellMar>
          <w:top w:w="0" w:type="dxa"/>
          <w:left w:w="0" w:type="dxa"/>
          <w:bottom w:w="0" w:type="dxa"/>
          <w:right w:w="0" w:type="dxa"/>
        </w:tblCellMar>
      </w:tblPr>
      <w:tblGrid>
        <w:gridCol w:w="68"/>
        <w:gridCol w:w="350"/>
        <w:gridCol w:w="9787"/>
      </w:tblGrid>
      <w:tr>
        <w:trPr/>
        <w:tc>
          <w:tcPr>
            <w:tcW w:w="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osition w:val="8"/>
                <w:sz w:val="19"/>
              </w:rPr>
            </w:pPr>
            <w:r>
              <w:rPr>
                <w:position w:val="8"/>
                <w:sz w:val="19"/>
              </w:rPr>
              <w:t>(11)</w:t>
            </w:r>
          </w:p>
        </w:tc>
        <w:tc>
          <w:tcPr>
            <w:tcW w:w="9787" w:type="dxa"/>
            <w:tcBorders/>
            <w:vAlign w:val="center"/>
          </w:tcPr>
          <w:p>
            <w:pPr>
              <w:pStyle w:val="TableContents"/>
              <w:bidi w:val="0"/>
              <w:spacing w:before="0" w:after="283"/>
              <w:jc w:val="both"/>
              <w:rPr/>
            </w:pPr>
            <w:r>
              <w:rPr/>
              <w:t>The investment is not a qualifying asset as defined under Section 55(a) of the 1940 Act, in whole, or in part. As of September 30, 2025, non-qualifying assets represented 14.70% of total assets.</w:t>
            </w:r>
          </w:p>
        </w:tc>
      </w:tr>
    </w:tbl>
    <w:tbl>
      <w:tblPr>
        <w:tblW w:w="10205" w:type="dxa"/>
        <w:jc w:val="left"/>
        <w:tblInd w:w="0" w:type="dxa"/>
        <w:tblLayout w:type="fixed"/>
        <w:tblCellMar>
          <w:top w:w="0" w:type="dxa"/>
          <w:left w:w="0" w:type="dxa"/>
          <w:bottom w:w="0" w:type="dxa"/>
          <w:right w:w="0" w:type="dxa"/>
        </w:tblCellMar>
      </w:tblPr>
      <w:tblGrid>
        <w:gridCol w:w="68"/>
        <w:gridCol w:w="349"/>
        <w:gridCol w:w="9788"/>
      </w:tblGrid>
      <w:tr>
        <w:trPr/>
        <w:tc>
          <w:tcPr>
            <w:tcW w:w="6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osition w:val="8"/>
                <w:sz w:val="19"/>
              </w:rPr>
            </w:pPr>
            <w:r>
              <w:rPr>
                <w:position w:val="8"/>
                <w:sz w:val="19"/>
              </w:rPr>
              <w:t>(12)</w:t>
            </w:r>
          </w:p>
        </w:tc>
        <w:tc>
          <w:tcPr>
            <w:tcW w:w="9788" w:type="dxa"/>
            <w:tcBorders/>
            <w:vAlign w:val="center"/>
          </w:tcPr>
          <w:p>
            <w:pPr>
              <w:pStyle w:val="TableContents"/>
              <w:bidi w:val="0"/>
              <w:spacing w:before="0" w:after="283"/>
              <w:jc w:val="both"/>
              <w:rPr/>
            </w:pPr>
            <w:r>
              <w:rPr/>
              <w:t>This investment earns 0.50% commitment fee on all unused commitments as of September 30, 2025, and is recorded as a component of interest income on the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osition w:val="8"/>
                <w:sz w:val="19"/>
              </w:rPr>
            </w:pPr>
            <w:r>
              <w:rPr>
                <w:position w:val="8"/>
                <w:sz w:val="19"/>
              </w:rPr>
              <w:t>(13)</w:t>
            </w:r>
          </w:p>
        </w:tc>
        <w:tc>
          <w:tcPr>
            <w:tcW w:w="9760" w:type="dxa"/>
            <w:tcBorders/>
            <w:vAlign w:val="center"/>
          </w:tcPr>
          <w:p>
            <w:pPr>
              <w:pStyle w:val="TableContents"/>
              <w:bidi w:val="0"/>
              <w:spacing w:before="0" w:after="283"/>
              <w:jc w:val="both"/>
              <w:rPr/>
            </w:pPr>
            <w:r>
              <w:rPr/>
              <w:t>This investment represents a Level 1 security in the ASC 820 table as of September 30, 2025 (see Note 4).</w:t>
            </w:r>
          </w:p>
        </w:tc>
      </w:tr>
    </w:tbl>
    <w:tbl>
      <w:tblPr>
        <w:tblW w:w="10205" w:type="dxa"/>
        <w:jc w:val="left"/>
        <w:tblInd w:w="0" w:type="dxa"/>
        <w:tblLayout w:type="fixed"/>
        <w:tblCellMar>
          <w:top w:w="0" w:type="dxa"/>
          <w:left w:w="0" w:type="dxa"/>
          <w:bottom w:w="0" w:type="dxa"/>
          <w:right w:w="0" w:type="dxa"/>
        </w:tblCellMar>
      </w:tblPr>
      <w:tblGrid>
        <w:gridCol w:w="68"/>
        <w:gridCol w:w="377"/>
        <w:gridCol w:w="9760"/>
      </w:tblGrid>
      <w:tr>
        <w:trPr/>
        <w:tc>
          <w:tcPr>
            <w:tcW w:w="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osition w:val="8"/>
                <w:sz w:val="19"/>
              </w:rPr>
            </w:pPr>
            <w:r>
              <w:rPr>
                <w:position w:val="8"/>
                <w:sz w:val="19"/>
              </w:rPr>
              <w:t>(14)</w:t>
            </w:r>
          </w:p>
        </w:tc>
        <w:tc>
          <w:tcPr>
            <w:tcW w:w="9760" w:type="dxa"/>
            <w:tcBorders/>
            <w:vAlign w:val="center"/>
          </w:tcPr>
          <w:p>
            <w:pPr>
              <w:pStyle w:val="TableContents"/>
              <w:bidi w:val="0"/>
              <w:spacing w:before="0" w:after="283"/>
              <w:jc w:val="both"/>
              <w:rPr/>
            </w:pPr>
            <w:r>
              <w:rPr/>
              <w:t>This investment represents a Level 2 security in the ASC 820 table as of September 30, 2025 (see Note 4).</w:t>
            </w:r>
          </w:p>
        </w:tc>
      </w:tr>
    </w:tbl>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osition w:val="8"/>
                <w:sz w:val="19"/>
              </w:rPr>
            </w:pPr>
            <w:r>
              <w:rPr>
                <w:position w:val="8"/>
                <w:sz w:val="19"/>
              </w:rPr>
              <w:t>(15)</w:t>
            </w:r>
          </w:p>
        </w:tc>
        <w:tc>
          <w:tcPr>
            <w:tcW w:w="9779" w:type="dxa"/>
            <w:tcBorders/>
            <w:vAlign w:val="center"/>
          </w:tcPr>
          <w:p>
            <w:pPr>
              <w:pStyle w:val="TableContents"/>
              <w:bidi w:val="0"/>
              <w:spacing w:before="0" w:after="283"/>
              <w:jc w:val="both"/>
              <w:rPr/>
            </w:pPr>
            <w:r>
              <w:rPr/>
              <w:t>The interest rate on this preferred equity is fixed-to-floating and shifted to 3 month SOFR plus a CSA of 0.262% plus a 4.743% spread on 9/30/2025.</w:t>
            </w:r>
          </w:p>
        </w:tc>
      </w:tr>
    </w:tbl>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osition w:val="8"/>
                <w:sz w:val="19"/>
              </w:rPr>
            </w:pPr>
            <w:r>
              <w:rPr>
                <w:position w:val="8"/>
                <w:sz w:val="19"/>
              </w:rPr>
              <w:t>(16)</w:t>
            </w:r>
          </w:p>
        </w:tc>
        <w:tc>
          <w:tcPr>
            <w:tcW w:w="9779" w:type="dxa"/>
            <w:tcBorders/>
            <w:vAlign w:val="center"/>
          </w:tcPr>
          <w:p>
            <w:pPr>
              <w:pStyle w:val="TableContents"/>
              <w:bidi w:val="0"/>
              <w:spacing w:before="0" w:after="283"/>
              <w:jc w:val="both"/>
              <w:rPr/>
            </w:pPr>
            <w:r>
              <w:rPr/>
              <w:t>The interest rate on this preferred equity is fixed-to-floating and will shift to 3 month SOFR plus a CSA of 0.262% plus a 5.29% spread on 9/27/2027.</w:t>
            </w:r>
          </w:p>
        </w:tc>
      </w:tr>
    </w:tbl>
    <w:tbl>
      <w:tblPr>
        <w:tblW w:w="7728" w:type="dxa"/>
        <w:jc w:val="left"/>
        <w:tblInd w:w="0" w:type="dxa"/>
        <w:tblLayout w:type="fixed"/>
        <w:tblCellMar>
          <w:top w:w="0" w:type="dxa"/>
          <w:left w:w="0" w:type="dxa"/>
          <w:bottom w:w="0" w:type="dxa"/>
          <w:right w:w="0" w:type="dxa"/>
        </w:tblCellMar>
      </w:tblPr>
      <w:tblGrid>
        <w:gridCol w:w="68"/>
        <w:gridCol w:w="380"/>
        <w:gridCol w:w="728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(17)</w:t>
            </w:r>
          </w:p>
        </w:tc>
        <w:tc>
          <w:tcPr>
            <w:tcW w:w="7280" w:type="dxa"/>
            <w:tcBorders/>
            <w:vAlign w:val="center"/>
          </w:tcPr>
          <w:p>
            <w:pPr>
              <w:pStyle w:val="TableContents"/>
              <w:bidi w:val="0"/>
              <w:spacing w:before="0" w:after="283"/>
              <w:jc w:val="both"/>
              <w:rPr/>
            </w:pPr>
            <w:r>
              <w:rPr/>
              <w:t>The investment is held through PhenixFIN Investment Holdings FST, LLC.</w:t>
            </w:r>
          </w:p>
        </w:tc>
      </w:tr>
    </w:tbl>
    <w:tbl>
      <w:tblPr>
        <w:tblW w:w="10205" w:type="dxa"/>
        <w:jc w:val="left"/>
        <w:tblInd w:w="0" w:type="dxa"/>
        <w:tblLayout w:type="fixed"/>
        <w:tblCellMar>
          <w:top w:w="0" w:type="dxa"/>
          <w:left w:w="0" w:type="dxa"/>
          <w:bottom w:w="0" w:type="dxa"/>
          <w:right w:w="0" w:type="dxa"/>
        </w:tblCellMar>
      </w:tblPr>
      <w:tblGrid>
        <w:gridCol w:w="68"/>
        <w:gridCol w:w="358"/>
        <w:gridCol w:w="9779"/>
      </w:tblGrid>
      <w:tr>
        <w:trPr/>
        <w:tc>
          <w:tcPr>
            <w:tcW w:w="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osition w:val="8"/>
                <w:sz w:val="19"/>
              </w:rPr>
            </w:pPr>
            <w:r>
              <w:rPr>
                <w:position w:val="8"/>
                <w:sz w:val="19"/>
              </w:rPr>
              <w:t>(18)</w:t>
            </w:r>
          </w:p>
        </w:tc>
        <w:tc>
          <w:tcPr>
            <w:tcW w:w="9779" w:type="dxa"/>
            <w:tcBorders/>
            <w:vAlign w:val="center"/>
          </w:tcPr>
          <w:p>
            <w:pPr>
              <w:pStyle w:val="TableContents"/>
              <w:bidi w:val="0"/>
              <w:spacing w:before="0" w:after="283"/>
              <w:jc w:val="both"/>
              <w:rPr/>
            </w:pPr>
            <w:r>
              <w:rPr/>
              <w:t>The interest rate on this preferred equity is fixed-to-floating and will shift to 3 month SOFR plus a CSA of 0.262% plus a 6.130% spread on 10/15/2026.</w:t>
            </w:r>
          </w:p>
        </w:tc>
      </w:tr>
    </w:tbl>
    <w:tbl>
      <w:tblPr>
        <w:tblW w:w="10205" w:type="dxa"/>
        <w:jc w:val="left"/>
        <w:tblInd w:w="0" w:type="dxa"/>
        <w:tblLayout w:type="fixed"/>
        <w:tblCellMar>
          <w:top w:w="0" w:type="dxa"/>
          <w:left w:w="0" w:type="dxa"/>
          <w:bottom w:w="0" w:type="dxa"/>
          <w:right w:w="0" w:type="dxa"/>
        </w:tblCellMar>
      </w:tblPr>
      <w:tblGrid>
        <w:gridCol w:w="68"/>
        <w:gridCol w:w="356"/>
        <w:gridCol w:w="9781"/>
      </w:tblGrid>
      <w:tr>
        <w:trPr/>
        <w:tc>
          <w:tcPr>
            <w:tcW w:w="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osition w:val="8"/>
                <w:sz w:val="19"/>
              </w:rPr>
            </w:pPr>
            <w:r>
              <w:rPr>
                <w:position w:val="8"/>
                <w:sz w:val="19"/>
              </w:rPr>
              <w:t>(19)</w:t>
            </w:r>
          </w:p>
        </w:tc>
        <w:tc>
          <w:tcPr>
            <w:tcW w:w="9781" w:type="dxa"/>
            <w:tcBorders/>
            <w:vAlign w:val="center"/>
          </w:tcPr>
          <w:p>
            <w:pPr>
              <w:pStyle w:val="TableContents"/>
              <w:bidi w:val="0"/>
              <w:spacing w:before="0" w:after="283"/>
              <w:jc w:val="both"/>
              <w:rPr/>
            </w:pPr>
            <w:r>
              <w:rPr/>
              <w:t>The interest rate on this preferred equity is fixed-to-floating and will shift to a rate equal to the five-year US Treasury Rate plus a 6.278% spread on 4/15/2028</w:t>
            </w:r>
          </w:p>
        </w:tc>
      </w:tr>
    </w:tbl>
    <w:tbl>
      <w:tblPr>
        <w:tblW w:w="3963" w:type="dxa"/>
        <w:jc w:val="left"/>
        <w:tblInd w:w="0" w:type="dxa"/>
        <w:tblLayout w:type="fixed"/>
        <w:tblCellMar>
          <w:top w:w="0" w:type="dxa"/>
          <w:left w:w="0" w:type="dxa"/>
          <w:bottom w:w="0" w:type="dxa"/>
          <w:right w:w="0" w:type="dxa"/>
        </w:tblCellMar>
      </w:tblPr>
      <w:tblGrid>
        <w:gridCol w:w="68"/>
        <w:gridCol w:w="380"/>
        <w:gridCol w:w="351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(20)</w:t>
            </w:r>
          </w:p>
        </w:tc>
        <w:tc>
          <w:tcPr>
            <w:tcW w:w="3515" w:type="dxa"/>
            <w:tcBorders/>
            <w:vAlign w:val="center"/>
          </w:tcPr>
          <w:p>
            <w:pPr>
              <w:pStyle w:val="TableContents"/>
              <w:bidi w:val="0"/>
              <w:spacing w:before="0" w:after="283"/>
              <w:jc w:val="both"/>
              <w:rPr/>
            </w:pPr>
            <w:r>
              <w:rPr/>
              <w:t>Credit Spread Adjustment (“CSA”).</w:t>
            </w:r>
          </w:p>
        </w:tc>
      </w:tr>
    </w:tbl>
    <w:tbl>
      <w:tblPr>
        <w:tblW w:w="3603" w:type="dxa"/>
        <w:jc w:val="left"/>
        <w:tblInd w:w="0" w:type="dxa"/>
        <w:tblLayout w:type="fixed"/>
        <w:tblCellMar>
          <w:top w:w="0" w:type="dxa"/>
          <w:left w:w="0" w:type="dxa"/>
          <w:bottom w:w="0" w:type="dxa"/>
          <w:right w:w="0" w:type="dxa"/>
        </w:tblCellMar>
      </w:tblPr>
      <w:tblGrid>
        <w:gridCol w:w="68"/>
        <w:gridCol w:w="380"/>
        <w:gridCol w:w="315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(21)</w:t>
            </w:r>
          </w:p>
        </w:tc>
        <w:tc>
          <w:tcPr>
            <w:tcW w:w="3155" w:type="dxa"/>
            <w:tcBorders/>
            <w:vAlign w:val="center"/>
          </w:tcPr>
          <w:p>
            <w:pPr>
              <w:pStyle w:val="TableContents"/>
              <w:bidi w:val="0"/>
              <w:spacing w:before="0" w:after="283"/>
              <w:jc w:val="both"/>
              <w:rPr/>
            </w:pPr>
            <w:r>
              <w:rPr/>
              <w:t>Non-income producing security.</w:t>
            </w:r>
          </w:p>
        </w:tc>
      </w:tr>
    </w:tbl>
    <w:tbl>
      <w:tblPr>
        <w:tblW w:w="6378" w:type="dxa"/>
        <w:jc w:val="left"/>
        <w:tblInd w:w="0" w:type="dxa"/>
        <w:tblLayout w:type="fixed"/>
        <w:tblCellMar>
          <w:top w:w="0" w:type="dxa"/>
          <w:left w:w="0" w:type="dxa"/>
          <w:bottom w:w="0" w:type="dxa"/>
          <w:right w:w="0" w:type="dxa"/>
        </w:tblCellMar>
      </w:tblPr>
      <w:tblGrid>
        <w:gridCol w:w="68"/>
        <w:gridCol w:w="380"/>
        <w:gridCol w:w="593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(22)</w:t>
            </w:r>
          </w:p>
        </w:tc>
        <w:tc>
          <w:tcPr>
            <w:tcW w:w="5930" w:type="dxa"/>
            <w:tcBorders/>
            <w:vAlign w:val="center"/>
          </w:tcPr>
          <w:p>
            <w:pPr>
              <w:pStyle w:val="TableContents"/>
              <w:bidi w:val="0"/>
              <w:spacing w:before="0" w:after="283"/>
              <w:jc w:val="both"/>
              <w:rPr/>
            </w:pPr>
            <w:r>
              <w:rPr/>
              <w:t>The investment is valued using NAV as a practical expedient.</w:t>
            </w:r>
          </w:p>
        </w:tc>
      </w:tr>
    </w:tbl>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osition w:val="8"/>
                <w:sz w:val="19"/>
              </w:rPr>
            </w:pPr>
            <w:r>
              <w:rPr>
                <w:position w:val="8"/>
                <w:sz w:val="19"/>
              </w:rPr>
              <w:t>(23)</w:t>
            </w:r>
          </w:p>
        </w:tc>
        <w:tc>
          <w:tcPr>
            <w:tcW w:w="9762" w:type="dxa"/>
            <w:tcBorders/>
            <w:vAlign w:val="center"/>
          </w:tcPr>
          <w:p>
            <w:pPr>
              <w:pStyle w:val="TableContents"/>
              <w:bidi w:val="0"/>
              <w:spacing w:before="0" w:after="283"/>
              <w:jc w:val="both"/>
              <w:rPr/>
            </w:pPr>
            <w:r>
              <w:rPr/>
              <w:t>The interest rate on these securities is subject to 1 month SOFR, which as of September 30, 2025 was 4.13%.</w:t>
            </w:r>
          </w:p>
        </w:tc>
      </w:tr>
    </w:tbl>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osition w:val="8"/>
                <w:sz w:val="19"/>
              </w:rPr>
            </w:pPr>
            <w:r>
              <w:rPr>
                <w:position w:val="8"/>
                <w:sz w:val="19"/>
              </w:rPr>
              <w:t>(24)</w:t>
            </w:r>
          </w:p>
        </w:tc>
        <w:tc>
          <w:tcPr>
            <w:tcW w:w="9762" w:type="dxa"/>
            <w:tcBorders/>
            <w:vAlign w:val="center"/>
          </w:tcPr>
          <w:p>
            <w:pPr>
              <w:pStyle w:val="TableContents"/>
              <w:bidi w:val="0"/>
              <w:spacing w:before="0" w:after="283"/>
              <w:jc w:val="both"/>
              <w:rPr/>
            </w:pPr>
            <w:r>
              <w:rPr/>
              <w:t>The interest rate on these securities is subject to 3 month SOFR, which as of September 30, 2025 was 3.98%.</w:t>
            </w:r>
          </w:p>
        </w:tc>
      </w:tr>
    </w:tbl>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osition w:val="8"/>
                <w:sz w:val="19"/>
              </w:rPr>
            </w:pPr>
            <w:r>
              <w:rPr>
                <w:position w:val="8"/>
                <w:sz w:val="19"/>
              </w:rPr>
              <w:t>(25)</w:t>
            </w:r>
          </w:p>
        </w:tc>
        <w:tc>
          <w:tcPr>
            <w:tcW w:w="9762" w:type="dxa"/>
            <w:tcBorders/>
            <w:vAlign w:val="center"/>
          </w:tcPr>
          <w:p>
            <w:pPr>
              <w:pStyle w:val="TableContents"/>
              <w:bidi w:val="0"/>
              <w:spacing w:before="0" w:after="283"/>
              <w:jc w:val="both"/>
              <w:rPr/>
            </w:pPr>
            <w:r>
              <w:rPr/>
              <w:t>The interest rate on these securities is subject to 6 month SOFR, which as of September 30, 2025 was 3.85%.</w:t>
            </w:r>
          </w:p>
        </w:tc>
      </w:tr>
    </w:tbl>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osition w:val="8"/>
                <w:sz w:val="19"/>
              </w:rPr>
            </w:pPr>
            <w:r>
              <w:rPr>
                <w:position w:val="8"/>
                <w:sz w:val="19"/>
              </w:rPr>
              <w:t>(26)</w:t>
            </w:r>
          </w:p>
        </w:tc>
        <w:tc>
          <w:tcPr>
            <w:tcW w:w="9772" w:type="dxa"/>
            <w:tcBorders/>
            <w:vAlign w:val="center"/>
          </w:tcPr>
          <w:p>
            <w:pPr>
              <w:pStyle w:val="TableContents"/>
              <w:bidi w:val="0"/>
              <w:spacing w:before="0" w:after="283"/>
              <w:jc w:val="both"/>
              <w:rPr/>
            </w:pPr>
            <w:r>
              <w:rPr/>
              <w:t>The interest rate on these securities is subject to the monthly Applicable Federal Rate, which as of September 30, 2025 was 3.93%.</w:t>
            </w:r>
          </w:p>
        </w:tc>
      </w:tr>
    </w:tbl>
    <w:tbl>
      <w:tblPr>
        <w:tblW w:w="10205" w:type="dxa"/>
        <w:jc w:val="left"/>
        <w:tblInd w:w="0" w:type="dxa"/>
        <w:tblLayout w:type="fixed"/>
        <w:tblCellMar>
          <w:top w:w="0" w:type="dxa"/>
          <w:left w:w="0" w:type="dxa"/>
          <w:bottom w:w="0" w:type="dxa"/>
          <w:right w:w="0" w:type="dxa"/>
        </w:tblCellMar>
      </w:tblPr>
      <w:tblGrid>
        <w:gridCol w:w="68"/>
        <w:gridCol w:w="366"/>
        <w:gridCol w:w="9771"/>
      </w:tblGrid>
      <w:tr>
        <w:trPr/>
        <w:tc>
          <w:tcPr>
            <w:tcW w:w="6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osition w:val="8"/>
                <w:sz w:val="19"/>
              </w:rPr>
            </w:pPr>
            <w:r>
              <w:rPr>
                <w:position w:val="8"/>
                <w:sz w:val="19"/>
              </w:rPr>
              <w:t>(27)</w:t>
            </w:r>
          </w:p>
        </w:tc>
        <w:tc>
          <w:tcPr>
            <w:tcW w:w="9771" w:type="dxa"/>
            <w:tcBorders/>
            <w:vAlign w:val="center"/>
          </w:tcPr>
          <w:p>
            <w:pPr>
              <w:pStyle w:val="TableContents"/>
              <w:bidi w:val="0"/>
              <w:spacing w:before="0" w:after="283"/>
              <w:jc w:val="both"/>
              <w:rPr/>
            </w:pPr>
            <w:r>
              <w:rPr/>
              <w:t>The investment includes an exit fee that is receivable upon repayment of the loan. See Note 2 “Significant Accounting Policies.”</w:t>
            </w:r>
          </w:p>
        </w:tc>
      </w:tr>
    </w:tbl>
    <w:tbl>
      <w:tblPr>
        <w:tblW w:w="5373" w:type="dxa"/>
        <w:jc w:val="left"/>
        <w:tblInd w:w="0" w:type="dxa"/>
        <w:tblLayout w:type="fixed"/>
        <w:tblCellMar>
          <w:top w:w="0" w:type="dxa"/>
          <w:left w:w="0" w:type="dxa"/>
          <w:bottom w:w="0" w:type="dxa"/>
          <w:right w:w="0" w:type="dxa"/>
        </w:tblCellMar>
      </w:tblPr>
      <w:tblGrid>
        <w:gridCol w:w="68"/>
        <w:gridCol w:w="380"/>
        <w:gridCol w:w="492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(28)</w:t>
            </w:r>
          </w:p>
        </w:tc>
        <w:tc>
          <w:tcPr>
            <w:tcW w:w="4925" w:type="dxa"/>
            <w:tcBorders/>
            <w:vAlign w:val="center"/>
          </w:tcPr>
          <w:p>
            <w:pPr>
              <w:pStyle w:val="TableContents"/>
              <w:bidi w:val="0"/>
              <w:spacing w:before="0" w:after="283"/>
              <w:jc w:val="both"/>
              <w:rPr/>
            </w:pPr>
            <w:r>
              <w:rPr/>
              <w:t>The interest rate on this preferred equity is 7.875%.</w:t>
            </w:r>
          </w:p>
        </w:tc>
      </w:tr>
    </w:tbl>
    <w:tbl>
      <w:tblPr>
        <w:tblW w:w="8718" w:type="dxa"/>
        <w:jc w:val="left"/>
        <w:tblInd w:w="0" w:type="dxa"/>
        <w:tblLayout w:type="fixed"/>
        <w:tblCellMar>
          <w:top w:w="0" w:type="dxa"/>
          <w:left w:w="0" w:type="dxa"/>
          <w:bottom w:w="0" w:type="dxa"/>
          <w:right w:w="0" w:type="dxa"/>
        </w:tblCellMar>
      </w:tblPr>
      <w:tblGrid>
        <w:gridCol w:w="68"/>
        <w:gridCol w:w="380"/>
        <w:gridCol w:w="827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osition w:val="8"/>
                <w:sz w:val="19"/>
              </w:rPr>
            </w:pPr>
            <w:r>
              <w:rPr>
                <w:position w:val="8"/>
                <w:sz w:val="19"/>
              </w:rPr>
              <w:t>(29)</w:t>
            </w:r>
          </w:p>
        </w:tc>
        <w:tc>
          <w:tcPr>
            <w:tcW w:w="8270" w:type="dxa"/>
            <w:tcBorders/>
            <w:vAlign w:val="center"/>
          </w:tcPr>
          <w:p>
            <w:pPr>
              <w:pStyle w:val="TableContents"/>
              <w:bidi w:val="0"/>
              <w:spacing w:before="0" w:after="283"/>
              <w:jc w:val="both"/>
              <w:rPr/>
            </w:pPr>
            <w:r>
              <w:rPr/>
              <w:t>On November 1, 2025, the maturity date of this investment was extended to 11/1/2026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PhenixFIN Corporation (“PhenixFIN,” the “Company,” “we” and “us”) is an internally-managed non-diversified closed-end management investment company incorporated in Delaware that has elected to be regulated as a business development company (“BDC”) under the Investment Company Act of 1940, as amended (the “1940 Act”). We completed our initial public offering (“IPO”) and commenced operations on January 20, 2011. The Company has elected, and intends to qualify annually, to be treated, for U.S. federal income tax purposes, as a regulated investment company (“RIC”) under Subchapter M of the Internal Revenue Code of 1986, as amended (the “Code”). Through December 31, 2020, we were an externally managed company. Since January 1, 2021, we have operated under our present internalized management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formed and expects to continue to form certain taxable subsidiaries (the “Taxable Subsidiaries”), which are taxed as corporations for federal income tax purposes. These Taxable Subsidiaries allow us to, among other things, hold equity securities of portfolio companies organized as pass-through entities while continuing to satisfy the requirements of a RIC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current income and capital appreciation. The management team seeks to achieve this objective primarily through making loans, private equity or other investments in privately-held companies. The Company may also make debt, equity or other investments in publicly-traded companies. (These investments may also include investments in other BDCs, closed-end funds or REITs.) We may also pursue other strategic opportunities and invest in other assets or operate other businesses to achieve our investment objective, such as operating and managing an asset-based (gems) lending business and overseeing an insurance business. The portfolio generally consists of senior secured first lien term loans, senior secured second lien term loans, senior secured bonds, preferred equity and common equity. Occasionally, we will receive warrants or other equity participation features which we believe will have the potential to increase total investment returns. Our loan and other debt investments are primarily rated below investment grade or are unrated. Investments in below investment grade securities are considered predominantly speculative with respect to the issuer’s capacity to pay interest and repay principal when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January 4, 2021, the common stock trades on the NASDAQ Global Market under the trading symbol “PFX.”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investment company following the accounting and reporting guidance in Financial Accounting Standards Board (“FASB”) Accounting Standards Codification 946 (“ASC 946”), Financial Services – Investment Companies. The accompanying consolidated financial statements have been prepared on the accrual basis of accounting in conformity with U.S. generally accepted accounting principles (“GAAP”) and include the consolidated accounts of the Company and its wholly owned subsidiaries PhenixFIN Small Business Fund, LP, PhenixFIN SLF Funding I LLC, PhenixFIN Investment Holdings, LLC, PhenixFIN Investment Holdings Omnivere, LLC, PhenixFIN Investment Holdings AAR, LLC, and PhenixFIN Investment Holdings Amvestar, LLC. All references made to the “Company,” “we,” and “us” herein include PhenixFIN Corporation and its consolidated subsidiaries, except as stated otherwise. Additionally, the accompanying consolidated financial statements of the Company and related financial information have been prepared pursuant to the requirements for reporting on Form 10-Q and Article 10 of Regulation S-X of the Securities Act of 1933.  Therefore, this Form 10-Q should be read in conjunction with the Company’s annual report on Form 10-K for the year ended September 30, 2025. The current period’s results of operations will not necessarily be indicative of results that ultimately may be achieved for the fiscal year ending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 in the Preparation of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Restricted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cash equivalents to be highly liquid investments with original maturities of three months or less. Cash and cash equivalents include deposits in a money market account. The Company deposits its cash in financial institutions and, at times, such balances may be in excess of the Federal Deposit Insurance Corporation insurance limits. As of March 31, 2026 and September 30, 2025, we had $3.1 million and $7.3 million in cash and cash equivalents, respectively, none of which is restricted.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Issuance Costs and 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incurred in connection with unsecured notes (see Note 5), are deferred and amortized over the life of the respective instrument. Deferred financing costs related to the issuance of revolving debt obligations (see Note 5) are deferred and amortized over the life of the respective obligation. Debt issuance costs related to any unsecured notes are presented net against the outstanding debt balance on the Consolidated Statements of Assets and Liabilities. Deferred financing costs related to any credit facilities are presented on the Consolidated Statements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enters into contractual agreements that provide general indemnifications against losses, costs, claims and liabilities arising from the performance of individual obligations under such agreements. The Company has had no material claims or payments pursuant to such agreements. The Company’s individual maximum exposure under these arrangements is unknown, as this would involve future claims that may be made against the Company that have not yet occurred. However, based on management’s experience, the Company expects the risk of loss to be remote.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adjusted for amortization of premium and accretion of discount, is recorded on an accrual basis. Discounts and premiums to par value on investments purchased are accreted and amortized into interest income over the life of the respective investment. Loan origination fees, exit fees, original issue discount (“OID”) and market discounts or premiums are capitalized and amortized into interest income using the effective interest method or straight-line method,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debt investments in its portfolio that contain a payment-in-kind (“PIK”) interest provision. PIK interest, which represents contractually deferred interest added to the investment balance that is generally due at maturity, is recorded on the accrual basis to the extent such amounts are expected to be collected. PIK interest is not accrued if the Company does not expect the issuer to be able to pay all principal and interest when due. For the three and six months ended March 31, 2026, the Company earned approximately $0.5 million and $0.7 million in PIK interest, respectively. For the three and six months ended March 31, 2025, the Company earned approximately $0.3 million and $0.7 million in PIK interest,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transaction break-up fees associated with investments in portfolio companies are recognized as income when we become entitled to such fees. Prepayment penalties received by the Company for debt instruments paid back to the Company prior to the maturity date are recorded as income upon repayment of debt. Administrative agent fees received by the Company are capitalized as deferred revenue and recorded as fee income when the services are rendered. Other income includes fees for providing managerial assistance to our portfolio companies and is recognized as revenue when earned. For the three and six months ended March 31, 2026, fee income was approximately $164.4 thousand and approximately $352.2 thousand, respectively (see Note 9). For the three and six months ended March 31, 2025, fee income was approximately $29.7 thousand and approximately $40.7 thousand, respectively (see Note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transactions are accounted for on a trade date basis. Realized gains or losses on investments are measured by the difference between the net proceeds from the disposition and the amortized cost basis of investment using the specific identification method, without regard to unrealized gains or losses previously recognized. No realized gains or losses relating to restructuring transactions occurred during the three and six months ended March 31, 2026. The Company recognized a realized gain related to restructuring transactions of $0.3 million for the three and six months ended March 31, 2025. The Company reports changes in fair value of investments as net unrealized appreciation/(depreciation) on investments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reviews all loans that become 90 days or more past due on principal or interest or when there is reasonable doubt that principal or interest will be collected for possible placement on management’s designation of non-accrual status. Interest receivable is analyzed regularly and may be reserved against when deemed not collectible. Interest payments received on non-accrual loans may be recognized as income or applied to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 At March 31, 2026, a certain investment in one portfolio company held by the Company was on non-accrual status with a fair value of approximately $0.0 million, or 0.0% of the fair value of our portfolio, and a cost of $7.6 million. At September 30, 2025, a certain investment in one portfolio company held by the Company was on non-accrual status with a combined fair value of approximately $0.0 million, or 0.0% of the fair value of our portfolio, and a cost of $7.6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investments in accordance with the requirements of the 1940 Act. Under the 1940 Act, we would be deemed to “control” a portfolio company if we owned more than 25% of its outstanding voting securities and/or had the power to exercise control over the management or policies of such portfolio company. We refer to such investments in portfolio companies that we “control” as “Control Investments.” Under the 1940 Act, we would be deemed to be an “Affiliated Person” of a portfolio company if we own between 5% and 25% of the portfolio company’s outstanding voting securities or we are under common control with such portfolio company. We refer to such investments in Affiliated Persons as “Affiliated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of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fair value accounting to all of its financial instruments in accordance with the 1940 Act and ASC Topic 820 - Fair Value Measurements and Disclosures (“ASC 820”). ASC 820 defines fair value, establishes a framework used to measure fair value and requires disclosures for fair value measurements. In accordance with ASC 820, the Company has categorized its financial instruments carried at fair value, based on the priority of the valuation technique, into a three-level fair value hierarchy as discussed in Note 4. Fair value is a market-based measure considered from the perspective of a market participant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for which market quotations are readily available are valued at such market quotations, which are generally obtained from an independent pricing service or multiple broker-dealers or market makers. We weight the use of third-party broker quotations, if any, in determining fair value based on our understanding of the level of actual transactions used by the broker to develop the quote and whether the quote was an indicative price or binding offer. However, debt investments with remaining maturities within 60 days that are not credit impaired are valued at cost plus accreted discount, or minus amortized premium, which approximates fair value. Investments for which market quotations are not readily available are valued at fair value as determined by our Chief Financial Officer, the Company’s Valuation Designee, based upon input from management and third-party valuation firms. Because these investments are illiquid and because there may not be any directly comparable companies whose financial instruments have observable market values, these loans are valued using a fundamental valuation methodology, consistent with traditional asset pricing standards, that is objective and consistently applied across all loans and through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investment funds are valued at fair value. Fair values are generally determined utilizing the NAV supplied by, or on behalf of, management of each investment fund, which is net of management and incentive fees or allocations charged by the investment fund and is in accordance with the “practical expedient”, as defined by FASB Accounting Standards Update (“ASU”) 2009-12, </w:t>
      </w:r>
      <w:r>
        <w:rPr>
          <w:rFonts w:ascii="Times New Roman;Times;Serif" w:hAnsi="Times New Roman;Times;Serif"/>
          <w:b w:val="false"/>
          <w:i/>
          <w:caps w:val="false"/>
          <w:smallCaps w:val="false"/>
          <w:sz w:val="20"/>
        </w:rPr>
        <w:t>Investments in Certain Entities that Calculate Net Asset Value per Share</w:t>
      </w:r>
      <w:r>
        <w:rPr>
          <w:rFonts w:ascii="Times New Roman;Times;Serif" w:hAnsi="Times New Roman;Times;Serif"/>
          <w:b w:val="false"/>
          <w:i w:val="false"/>
          <w:caps w:val="false"/>
          <w:smallCaps w:val="false"/>
          <w:sz w:val="20"/>
        </w:rPr>
        <w:t>. NAVs received by, or on behalf of, management of each investment fund are based on the fair value of the investment funds’ underlying investments in accordance with policies established by management of each investment fund, as described in each of their financial statements and offering memorandum. If the Company is in the process of the sale of an investment fund, fair value will be determined by actual or estimated sale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utilized by the Company in estimating the fair value of its investments categorized as Level 3 generally fall into the following two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Approach” uses prices and other relevant information generated by market transactions involving identical or comparable (that is, similar) assets, liabilities, or a group of assets and liabilities, such as a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“Income Approach” converts future amounts (for example, cash flows or income and expenses) to a single current (that is, discounted) amount. When the Income Approach is used, the fair value measurement reflects current market expectations about those future amounts.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engaged third-party valuation firms (the “Valuation Firms”) to assist it and its Valuation Designee (the Chief Financial Officer) in the valuation of its portfolio investments. The valuation reports generated by the Valuation Firms consider the evaluation of financing and sale transactions with third parties, expected cash flows and market-based information, including comparable transactions, performance multiples, and movement in yields of debt instruments, among other factors. The Company uses a market yield analysis under the Income Approach or an enterprise model of valuation under the Market Approach, or a combination thereof. In applying the market yield analysis, the value of the Company’s loans are determined based upon inputs such as the coupon rate, current market yield, interest rate spreads of similar securities, the stated value of the loan, and the length to maturity. In applying the enterprise model, the Company uses a waterfall analysis, which takes into account the specific capital structure of the borrower and the related seniority of the instruments within the borrower’s capital structure. To estimate the enterprise value of the portfolio company, we weigh some or all of the traditional market valuation methods and factors based on the individual circumstances of the portfolio company in order to estimate the enterprise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and information that the Company utilizes when applying the Market Approach for performing investments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valuations of comparable public companies (“Guideline Comparable Approach”);</w:t>
            </w:r>
          </w:p>
        </w:tc>
      </w:tr>
    </w:tbl>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105"/>
        <w:gridCol w:w="200"/>
        <w:gridCol w:w="7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sales of private and public comparable companies (“Guideline Comparable Approach”);</w:t>
            </w:r>
          </w:p>
        </w:tc>
      </w:tr>
    </w:tbl>
    <w:p>
      <w:pPr>
        <w:pStyle w:val="TextBody"/>
        <w:bidi w:val="0"/>
        <w:spacing w:before="0" w:after="0"/>
        <w:ind w:left="0" w:right="0" w:hanging="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05"/>
        <w:gridCol w:w="200"/>
        <w:gridCol w:w="93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acquisition prices of the company, debt securities or equity securities (“Recent Arms-Length Transaction”);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external valuations of the portfolio company, offers from third parties to buy the company (“Estimated Sales Proceeds Approach”);</w:t>
            </w:r>
          </w:p>
        </w:tc>
      </w:tr>
    </w:tbl>
    <w:p>
      <w:pPr>
        <w:pStyle w:val="TextBody"/>
        <w:bidi w:val="0"/>
        <w:spacing w:before="0" w:after="0"/>
        <w:ind w:left="0" w:right="0" w:hanging="0"/>
        <w:jc w:val="both"/>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105"/>
        <w:gridCol w:w="200"/>
        <w:gridCol w:w="8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 sales made by the Company of its investments (“Expected Sales Proceeds Approach”); and</w:t>
            </w:r>
          </w:p>
        </w:tc>
      </w:tr>
    </w:tbl>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05"/>
        <w:gridCol w:w="200"/>
        <w:gridCol w:w="3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estimating the value to potential buyers.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methodologies and information that the Company utilizes when applying the Income Approach for performing investments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discounting the forecasted cash flows of the portfolio company or securities (Discounted Cash Flow (“DCF”) Approach);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Black-Scholes model or simulation models or a combination thereof (Income Approach - Option Model) with respect to the valuation of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non-performing investments, we may estimate the liquidation or collateral value of the portfolio company’s assets and liabilities using an expected recovery model (Market Approach - Expected Recovery Analysis or Estimated Liquidation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a multi-step valuation process each quarter when valuing investments for which market quotations are not readily available, as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quarterly valuation process generally begins with each portfolio investment being initially valued by a Valuation Firm;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third-party market data will be reviewed by Company personnel designated by the Valuation Designee (“Fair Value Personnel”) and the Valuation Firm.</w:t>
            </w:r>
          </w:p>
        </w:tc>
      </w:tr>
    </w:tbl>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
        <w:gridCol w:w="200"/>
        <w:gridCol w:w="8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portfolio company data and general industry data are then reviewed by the Fair Value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valuation conclusions are then documented by the Valuation Firm and discussed with the Fair Value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Designee then determines the fair value of each investment in the Company’s portfolio in good faith based on such discussions, the Company’s Valuation Policy and the Valuation Firms’ final estimated valuations.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Valuation Designee’s report is then presented to the Board of Directors and the Audit Committee.</w:t>
            </w:r>
          </w:p>
        </w:tc>
      </w:tr>
    </w:tbl>
    <w:p>
      <w:pPr>
        <w:pStyle w:val="TextBody"/>
        <w:bidi w:val="0"/>
        <w:spacing w:before="0" w:after="0"/>
        <w:ind w:left="520" w:right="0" w:hanging="2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inherent uncertainty of determining the fair value of investments that do not have a readily available market value, the fair value of our investments may differ from the values that would have been used had a readily available market value existed for such investments, and the differences could be material. In addition, changes in the market environment (including the impact of pandemics, wars, tariffs, or other events on financial markets), portfolio company performance, and other events may occur over the lives of the investments that may cause the gains or losses ultimately realized on these investments to be materially different than the valuations currently assigned.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certain of our financial instruments, including cash and cash equivalents, accounts payable and accrued expenses, approximate fair value due to their short-term nature. The carrying amounts and fair values of our long-term obligations are discussed in Note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the applicability and impact of all accounting standard updates (“ASU”) issued by the FASB. ASUs not listed were assessed by the Company and either determined to be not applicable or expected to have minimal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September 30, 2024, and interim periods beginning after September 30, 2025 for the Company. Early adoption is permitted and retrospective adoption is required for all prior periods presented. The Company adopted the guidance during the year ended September 30, 2025 and its adoption did not have a material impact on the Company’s financial statements. See “Note 15 – Segment Reporting”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(“ASU 2023-09”),” which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does not expect a material impact to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(“ASU 2024-03”)”, which requires disaggregated disclosure of certain costs and expenses, including purchases of inventory, employee compensation, depreciation, amortization and depletion for oil and gas companies, within relevant income statement captions. ASU 2024-03 is effective for fiscal years beginning after December 15, 2026, and interim periods beginning after December 15, 2027, as clarified by ASU 2025-01, which was released by the FASB in January 2025. Early adoption and retrospective application is permitted. The Company is currently assessing the impact of this guidance, however, the Company does not expect a material impact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aforementioned guidance, the Company’s management does not believe that any recently issued, but not yet effective, accounting standards, if currently adopted, would have a material effect on the accompanying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and intends to continue to qualify annually, to be treated as a RIC under Subchapter M of the Code. In order to continue to qualify as a RIC and be eligible for tax treatment under Subchapter M of the Code, among other things, the Company is required to meet certain source of income and asset diversification requirements and timely distribute to its stockholders at least 90% of the sum of investment company taxable income (“ICTI”), as defined by the Code, including PIK interest, and net tax exempt interest income (which is the excess of gross tax exempt interest income over certain disallowed deductions) for each taxable year. Depending on the level of ICTI earned in a tax year, the Company may choose to carry forward ICTI in excess of current year dividend distributions into the next tax year. Any such carryover ICTI must be distributed before the end of that next tax year through a dividend declared prior to filing the final tax return related to the year which generated such ICTI.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nondeductible U.S. federal excise tax of 4% on undistributed income if it does not distribute at least 98% of its ordinary income in any calendar year and 98.2% of its capital gain net income for each one-year period ending on October 31 of such calendar year and any income realized, but not distributed, in preceding years and on which it did not pay federal income tax.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There was no provision for federal excise tax at March 31, 2026 and September 30, 2025. On December 13, 2024, the Company identified that it did not distribute at least 90% of its investment company taxable income for the tax year ended September 30, 2023. The Company filed Form 8927 on December 16, 2024 notifying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Taxable Subsidiaries accrue income taxes payable based on the applicable corporate rates on the unrealized gains generated by the investments held by the Taxable Subsidiaries. As of March 31, 2026 and September 30, 2025, the Company recorded a net deferred tax asset of $727,925 and $1,234,847 respectively, on the Consolidated Statements of Assets and Liabilities. The change in provision for deferred taxes is included as a component of net realized and unrealized gain/(loss) on the Consolidated Statements of Operations. For the three and six months ended March 31, 2026 the Company recorded a change in provision for deferred taxes of $(166,015) and $(589,444), respectively, on the unrealized (appreciation)/depreciation on investments. For the three and six months ended March 31, 2025 the Company recorded a change in provision for deferred taxes of $(329,636) and $(329,636), respectively, on the unrealized (appreciation)/depreciation on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Company had a deferred tax asset of $13.5 million and $14.4 million, respectively, consisting primarily of net operating losses and net unrealized losses on the investments held within its Taxable Subsidiaries. As of March 31, 2026 and September 30, 2025, the Company has booked a valuation allowance of $12.7 million and $13.2 million, respectively, against its deferred tax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ICTI generally differs from net investment income for financial reporting purposes due to temporary and permanent differences in the recognition of income and expenses. The Company may be required to recognize ICTI in certain circumstances in which it does not receive cash. For example, if the Company holds debt obligations that are treated under applicable tax rules as having original issue discount, the Company must include in ICTI each year a portion of the original issue discount that accrues over the life of the obligation, regardless of whether cash representing such income is received by the Company in the same taxable year. The Company may also have to include in ICTI other amounts that it has not yet received in cash, such as 1) PIK interest income and 2) interest income from investments that have been classified as non-accrual for financial reporting purposes. Interest income on non-accrual investments is not recognized for financial reporting purposes, but generally is recognized in ICTI. Because any original issue discount or other amounts accrued will be included in the Company’s ICTI for the year of accrual, the Company may be required to make a distribution to its stockholders in order to satisfy the minimum distribution requirements, even though the Company will not have received and may not ever receive any corresponding cash amount. ICTI also excludes net unrealized appreciation or depreciation, as investment gains or losses are not included in taxable income until they are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conformity with ASC Topic 740 - Income Taxes (“ASC 740”). ASC 740 provides guidelines for how uncertain tax positions should be recognized, measured, presented and disclosed in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There were no material uncertain income tax positions at March 31, 2026. Although we file federal and state tax returns, our major tax jurisdiction is federal. The Company’s federal and state tax returns for the prior four fiscal years remain open, subject to examination by the Internal Revenue Service and applicable state tax authorities.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Investment Risk, Concentration of Credit Risk, and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broad discretion in making investments. Its debt or equity investments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Company’s investments in loans may be detrimentally affected to the extent, among other things, that a borrower defaults on its obligations, there is insufficient collateral and/or there are extensive legal and other costs incurred in collecting on a defaulted loan, observable secondary or primary market yields for similar instruments issued by comparable companies increase materially or risk premiums required in the market between smaller companies, such as our borrowers, and those for which market yields are observable increase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March 31, 2026 as a percentage of our total portfolio, at amortized cost and fair value were as follows (dollars in thousands): </w:t>
      </w:r>
    </w:p>
    <w:p>
      <w:pPr>
        <w:pStyle w:val="TextBody"/>
        <w:bidi w:val="0"/>
        <w:spacing w:before="0" w:after="0"/>
        <w:ind w:left="0"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695"/>
        <w:gridCol w:w="90"/>
        <w:gridCol w:w="281"/>
        <w:gridCol w:w="1373"/>
        <w:gridCol w:w="90"/>
        <w:gridCol w:w="90"/>
        <w:gridCol w:w="155"/>
        <w:gridCol w:w="1020"/>
        <w:gridCol w:w="245"/>
        <w:gridCol w:w="90"/>
        <w:gridCol w:w="194"/>
        <w:gridCol w:w="950"/>
        <w:gridCol w:w="90"/>
        <w:gridCol w:w="90"/>
        <w:gridCol w:w="155"/>
        <w:gridCol w:w="1020"/>
        <w:gridCol w:w="290"/>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127,359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39.3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113,491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38.4</w:t>
            </w:r>
          </w:p>
        </w:tc>
        <w:tc>
          <w:tcPr>
            <w:tcW w:w="290" w:type="dxa"/>
            <w:tcBorders/>
            <w:shd w:fill="CCEEFF" w:val="clear"/>
            <w:vAlign w:val="center"/>
          </w:tcPr>
          <w:p>
            <w:pPr>
              <w:pStyle w:val="TableContents"/>
              <w:bidi w:val="0"/>
              <w:spacing w:before="0" w:after="283"/>
              <w:ind w:left="0" w:right="0" w:hanging="0"/>
              <w:jc w:val="left"/>
              <w:rPr/>
            </w:pPr>
            <w:r>
              <w:rPr/>
              <w:t>%</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13,576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13,399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0.8</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3" w:type="dxa"/>
            <w:tcBorders>
              <w:bottom w:val="single" w:sz="12" w:space="0" w:color="000000"/>
            </w:tcBorders>
            <w:tcMar>
              <w:bottom w:w="28" w:type="dxa"/>
            </w:tcMar>
            <w:vAlign w:val="center"/>
          </w:tcPr>
          <w:p>
            <w:pPr>
              <w:pStyle w:val="TableContents"/>
              <w:bidi w:val="0"/>
              <w:spacing w:before="0" w:after="283"/>
              <w:jc w:val="right"/>
              <w:rPr/>
            </w:pPr>
            <w:r>
              <w:rPr/>
              <w:t>180,339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55.8</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pPr>
            <w:r>
              <w:rPr/>
              <w:t>166,601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56.3</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3" w:type="dxa"/>
            <w:tcBorders>
              <w:bottom w:val="double" w:sz="10" w:space="0" w:color="000000"/>
            </w:tcBorders>
            <w:shd w:fill="CCEEFF" w:val="clear"/>
            <w:tcMar>
              <w:bottom w:w="28" w:type="dxa"/>
            </w:tcMar>
            <w:vAlign w:val="center"/>
          </w:tcPr>
          <w:p>
            <w:pPr>
              <w:pStyle w:val="TableContents"/>
              <w:bidi w:val="0"/>
              <w:spacing w:before="0" w:after="283"/>
              <w:jc w:val="right"/>
              <w:rPr/>
            </w:pPr>
            <w:r>
              <w:rPr/>
              <w:t>313,412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295,811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investments as of September 30, 2025 as a percentage of our total portfolio, at amortized cost and fair value were as follows (dollars in thousands): </w:t>
      </w:r>
    </w:p>
    <w:p>
      <w:pPr>
        <w:pStyle w:val="TextBody"/>
        <w:bidi w:val="0"/>
        <w:spacing w:before="0" w:after="0"/>
        <w:ind w:left="0" w:right="0" w:hanging="0"/>
        <w:jc w:val="both"/>
        <w:rPr>
          <w:caps w:val="false"/>
          <w:smallCaps w:val="false"/>
        </w:rPr>
      </w:pPr>
      <w:r>
        <w:rPr>
          <w:caps w:val="false"/>
          <w:smallCaps w:val="false"/>
        </w:rPr>
        <w:t> </w:t>
      </w:r>
    </w:p>
    <w:tbl>
      <w:tblPr>
        <w:tblW w:w="9918" w:type="dxa"/>
        <w:jc w:val="left"/>
        <w:tblInd w:w="0" w:type="dxa"/>
        <w:tblLayout w:type="fixed"/>
        <w:tblCellMar>
          <w:top w:w="0" w:type="dxa"/>
          <w:left w:w="0" w:type="dxa"/>
          <w:bottom w:w="0" w:type="dxa"/>
          <w:right w:w="0" w:type="dxa"/>
        </w:tblCellMar>
      </w:tblPr>
      <w:tblGrid>
        <w:gridCol w:w="3695"/>
        <w:gridCol w:w="90"/>
        <w:gridCol w:w="281"/>
        <w:gridCol w:w="1373"/>
        <w:gridCol w:w="90"/>
        <w:gridCol w:w="90"/>
        <w:gridCol w:w="155"/>
        <w:gridCol w:w="1020"/>
        <w:gridCol w:w="245"/>
        <w:gridCol w:w="90"/>
        <w:gridCol w:w="194"/>
        <w:gridCol w:w="950"/>
        <w:gridCol w:w="90"/>
        <w:gridCol w:w="90"/>
        <w:gridCol w:w="155"/>
        <w:gridCol w:w="1020"/>
        <w:gridCol w:w="290"/>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373" w:type="dxa"/>
            <w:tcBorders/>
            <w:shd w:fill="CCEEFF" w:val="clear"/>
            <w:vAlign w:val="center"/>
          </w:tcPr>
          <w:p>
            <w:pPr>
              <w:pStyle w:val="TableContents"/>
              <w:bidi w:val="0"/>
              <w:spacing w:before="0" w:after="283"/>
              <w:jc w:val="right"/>
              <w:rPr/>
            </w:pPr>
            <w:r>
              <w:rPr/>
              <w:t>125,373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116,567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90" w:type="dxa"/>
            <w:tcBorders/>
            <w:shd w:fill="CCEEFF" w:val="clear"/>
            <w:vAlign w:val="center"/>
          </w:tcPr>
          <w:p>
            <w:pPr>
              <w:pStyle w:val="TableContents"/>
              <w:bidi w:val="0"/>
              <w:spacing w:before="0" w:after="283"/>
              <w:ind w:left="0" w:right="0" w:hanging="0"/>
              <w:jc w:val="left"/>
              <w:rPr/>
            </w:pPr>
            <w:r>
              <w:rPr/>
              <w:t>%</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17,039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17,457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5.8</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2,194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73" w:type="dxa"/>
            <w:tcBorders>
              <w:bottom w:val="single" w:sz="12" w:space="0" w:color="000000"/>
            </w:tcBorders>
            <w:tcMar>
              <w:bottom w:w="28" w:type="dxa"/>
            </w:tcMar>
            <w:vAlign w:val="center"/>
          </w:tcPr>
          <w:p>
            <w:pPr>
              <w:pStyle w:val="TableContents"/>
              <w:bidi w:val="0"/>
              <w:spacing w:before="0" w:after="283"/>
              <w:jc w:val="right"/>
              <w:rPr/>
            </w:pPr>
            <w:r>
              <w:rPr/>
              <w:t>179,783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pPr>
            <w:r>
              <w:rPr/>
              <w:t>166,021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54.9</w:t>
            </w:r>
          </w:p>
        </w:tc>
        <w:tc>
          <w:tcPr>
            <w:tcW w:w="29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2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73" w:type="dxa"/>
            <w:tcBorders>
              <w:bottom w:val="double" w:sz="10" w:space="0" w:color="000000"/>
            </w:tcBorders>
            <w:shd w:fill="CCEEFF" w:val="clear"/>
            <w:tcMar>
              <w:bottom w:w="28" w:type="dxa"/>
            </w:tcMar>
            <w:vAlign w:val="center"/>
          </w:tcPr>
          <w:p>
            <w:pPr>
              <w:pStyle w:val="TableContents"/>
              <w:bidi w:val="0"/>
              <w:spacing w:before="0" w:after="283"/>
              <w:jc w:val="right"/>
              <w:rPr/>
            </w:pPr>
            <w:r>
              <w:rPr/>
              <w:t>324,389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pPr>
            <w:r>
              <w:rPr/>
              <w:t>302,272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certain of the Company’s investments, the Company receives warrants that are obtained for the objective of increasing the total investment returns and are not held for hedging purposes. At March 31, 2026 and September 30, 2025, the total fair value of warrants was $896.5 thousand and $815.5 thousand, respectively, and were included in investments at fair value on the Consolidated Statements of Assets and Liabilities. During the three and six months ended March 31, 2026, the Company acquired warrants in one existing portfolio company. During the three and six months ended March 31, 2025, the Company acquired warrants in one existing portfolio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change in unrealized appreciation/(depreciation) related to warrants for the three and six months ended March 31, 2026 was $(559.5) thousand and $(789.1) thousand, respectively, and was recorded on the Consolidated Statements of Operations as net change in unrealized appreciation/(depreciation) on investments. Total change in unrealized appreciation/(depreciation) related to warrants for the three and six months ended March 31, 2025 was $(228.7) thousand and $(493.7) thousand, respectively, and was recorded on the Consolidated Statements of Operations as net change in unrealized appreciation/(depreciation) on investments. The warrants are received in connection with individual investments and are not subject to master netting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industry grouping at fair value at March 31, 2026 (dollars in thousands):</w:t>
      </w:r>
    </w:p>
    <w:p>
      <w:pPr>
        <w:pStyle w:val="TextBody"/>
        <w:bidi w:val="0"/>
        <w:spacing w:before="0" w:after="0"/>
        <w:ind w:left="0" w:right="0" w:hanging="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3515"/>
        <w:gridCol w:w="90"/>
        <w:gridCol w:w="194"/>
        <w:gridCol w:w="950"/>
        <w:gridCol w:w="90"/>
        <w:gridCol w:w="90"/>
        <w:gridCol w:w="155"/>
        <w:gridCol w:w="1020"/>
        <w:gridCol w:w="29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55,356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18.7</w:t>
            </w:r>
          </w:p>
        </w:tc>
        <w:tc>
          <w:tcPr>
            <w:tcW w:w="290" w:type="dxa"/>
            <w:tcBorders/>
            <w:shd w:fill="CCEEFF" w:val="clear"/>
            <w:vAlign w:val="center"/>
          </w:tcPr>
          <w:p>
            <w:pPr>
              <w:pStyle w:val="TableContents"/>
              <w:bidi w:val="0"/>
              <w:spacing w:before="0" w:after="283"/>
              <w:ind w:left="0" w:right="0" w:hanging="0"/>
              <w:jc w:val="left"/>
              <w:rPr/>
            </w:pPr>
            <w:r>
              <w:rPr/>
              <w:t>%</w:t>
            </w:r>
          </w:p>
        </w:tc>
      </w:tr>
      <w:tr>
        <w:trPr/>
        <w:tc>
          <w:tcPr>
            <w:tcW w:w="3515" w:type="dxa"/>
            <w:tcBorders/>
            <w:vAlign w:val="center"/>
          </w:tcPr>
          <w:p>
            <w:pPr>
              <w:pStyle w:val="TableContents"/>
              <w:bidi w:val="0"/>
              <w:spacing w:before="0" w:after="283"/>
              <w:jc w:val="left"/>
              <w:rPr/>
            </w:pPr>
            <w:r>
              <w:rPr/>
              <w:t>Services: Business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48,874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16.5</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Real Estate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38,002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12.8</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Services: Consumer</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33,785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11.4</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Construction &amp; Building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29,832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10.1</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Aerospace &amp; Defense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28,398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9.6</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Hotel, Gaming &amp; Leisure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20,192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6.8</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High Tech Industries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18,840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Automotive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8,229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2.8</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Metals &amp; Mining</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6,763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2.3</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Consumer Discretionary</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3,235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1.1</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Banking</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0.8</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Media: Broadcasting &amp; Subscription</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1,985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295,811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industry grouping at fair value at September 30, 2025 (dollars in thousands):</w:t>
      </w:r>
    </w:p>
    <w:p>
      <w:pPr>
        <w:pStyle w:val="TextBody"/>
        <w:bidi w:val="0"/>
        <w:spacing w:before="0" w:after="0"/>
        <w:ind w:left="0" w:right="0" w:hanging="0"/>
        <w:jc w:val="both"/>
        <w:rPr>
          <w:caps w:val="false"/>
          <w:smallCaps w:val="false"/>
        </w:rPr>
      </w:pPr>
      <w:r>
        <w:rPr>
          <w:caps w:val="false"/>
          <w:smallCaps w:val="false"/>
        </w:rPr>
        <w:t> </w:t>
      </w:r>
    </w:p>
    <w:tbl>
      <w:tblPr>
        <w:tblW w:w="6394" w:type="dxa"/>
        <w:jc w:val="left"/>
        <w:tblInd w:w="0" w:type="dxa"/>
        <w:tblLayout w:type="fixed"/>
        <w:tblCellMar>
          <w:top w:w="0" w:type="dxa"/>
          <w:left w:w="0" w:type="dxa"/>
          <w:bottom w:w="0" w:type="dxa"/>
          <w:right w:w="0" w:type="dxa"/>
        </w:tblCellMar>
      </w:tblPr>
      <w:tblGrid>
        <w:gridCol w:w="3515"/>
        <w:gridCol w:w="90"/>
        <w:gridCol w:w="194"/>
        <w:gridCol w:w="950"/>
        <w:gridCol w:w="90"/>
        <w:gridCol w:w="90"/>
        <w:gridCol w:w="155"/>
        <w:gridCol w:w="1020"/>
        <w:gridCol w:w="29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Services: Business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56,249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18.6</w:t>
            </w:r>
          </w:p>
        </w:tc>
        <w:tc>
          <w:tcPr>
            <w:tcW w:w="290" w:type="dxa"/>
            <w:tcBorders/>
            <w:shd w:fill="CCEEFF" w:val="clear"/>
            <w:vAlign w:val="center"/>
          </w:tcPr>
          <w:p>
            <w:pPr>
              <w:pStyle w:val="TableContents"/>
              <w:bidi w:val="0"/>
              <w:spacing w:before="0" w:after="283"/>
              <w:ind w:left="0" w:right="0" w:hanging="0"/>
              <w:jc w:val="left"/>
              <w:rPr/>
            </w:pPr>
            <w:r>
              <w:rPr/>
              <w:t>%</w:t>
            </w:r>
          </w:p>
        </w:tc>
      </w:tr>
      <w:tr>
        <w:trPr/>
        <w:tc>
          <w:tcPr>
            <w:tcW w:w="3515" w:type="dxa"/>
            <w:tcBorders/>
            <w:vAlign w:val="center"/>
          </w:tcPr>
          <w:p>
            <w:pPr>
              <w:pStyle w:val="TableContents"/>
              <w:bidi w:val="0"/>
              <w:spacing w:before="0" w:after="283"/>
              <w:jc w:val="left"/>
              <w:rPr/>
            </w:pPr>
            <w:r>
              <w:rPr/>
              <w:t>Insurance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48,470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16.0</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Real Estate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47,632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15.8</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Services: Consumer</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38,418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12.7</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Aerospace &amp; Defense</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25,881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8.6</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Hotel, Gaming &amp; Leisure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22,328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7.4</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Construction &amp; Building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18,131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High Tech Industries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16,961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5.6</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Metals &amp; Mining</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Automotive</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7,860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2.6</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Media: Broadcasting &amp; Subscription</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4,850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pPr>
            <w:r>
              <w:rPr/>
              <w:t>Consumer Discretionary</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4,502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1.5</w:t>
            </w:r>
          </w:p>
        </w:tc>
        <w:tc>
          <w:tcPr>
            <w:tcW w:w="290" w:type="dxa"/>
            <w:tcBorders/>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283"/>
              <w:jc w:val="left"/>
              <w:rPr/>
            </w:pPr>
            <w:r>
              <w:rPr/>
              <w:t>Banking</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in portfolio companies principally located in the United States. The geographic composition is determined by the location of the corporate headquarters of the portfolio company, which may not be indicative of the primary source of the portfolio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geographic location at fair value at March 31, 2026 (dollars in thousands):</w:t>
      </w:r>
    </w:p>
    <w:p>
      <w:pPr>
        <w:pStyle w:val="TextBody"/>
        <w:bidi w:val="0"/>
        <w:spacing w:before="0" w:after="0"/>
        <w:ind w:left="0" w:right="0" w:hanging="0"/>
        <w:jc w:val="both"/>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280"/>
        <w:gridCol w:w="90"/>
        <w:gridCol w:w="194"/>
        <w:gridCol w:w="950"/>
        <w:gridCol w:w="90"/>
        <w:gridCol w:w="90"/>
        <w:gridCol w:w="155"/>
        <w:gridCol w:w="1020"/>
        <w:gridCol w:w="29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Northeast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109,560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37.0</w:t>
            </w:r>
          </w:p>
        </w:tc>
        <w:tc>
          <w:tcPr>
            <w:tcW w:w="29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Southeast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102,843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34.8</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36,535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12.4</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Midwest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17,555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5.9</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Southwest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17,241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5.8</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Mid-Atlantic</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International</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11,763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295,811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portfolio composition by geographic location at fair value at September 30, 2025 (dollars in thousands):</w:t>
      </w:r>
    </w:p>
    <w:p>
      <w:pPr>
        <w:pStyle w:val="TextBody"/>
        <w:bidi w:val="0"/>
        <w:spacing w:before="0" w:after="0"/>
        <w:ind w:left="0" w:right="0" w:hanging="0"/>
        <w:jc w:val="left"/>
        <w:rPr>
          <w:caps w:val="false"/>
          <w:smallCaps w:val="false"/>
        </w:rPr>
      </w:pPr>
      <w:r>
        <w:rPr>
          <w:caps w:val="false"/>
          <w:smallCaps w:val="false"/>
        </w:rPr>
        <w:t> </w:t>
      </w:r>
    </w:p>
    <w:tbl>
      <w:tblPr>
        <w:tblW w:w="4159" w:type="dxa"/>
        <w:jc w:val="left"/>
        <w:tblInd w:w="0" w:type="dxa"/>
        <w:tblLayout w:type="fixed"/>
        <w:tblCellMar>
          <w:top w:w="0" w:type="dxa"/>
          <w:left w:w="0" w:type="dxa"/>
          <w:bottom w:w="0" w:type="dxa"/>
          <w:right w:w="0" w:type="dxa"/>
        </w:tblCellMar>
      </w:tblPr>
      <w:tblGrid>
        <w:gridCol w:w="1280"/>
        <w:gridCol w:w="90"/>
        <w:gridCol w:w="194"/>
        <w:gridCol w:w="950"/>
        <w:gridCol w:w="90"/>
        <w:gridCol w:w="90"/>
        <w:gridCol w:w="155"/>
        <w:gridCol w:w="1020"/>
        <w:gridCol w:w="290"/>
      </w:tblGrid>
      <w:tr>
        <w:trPr/>
        <w:tc>
          <w:tcPr>
            <w:tcW w:w="1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Northeast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114,610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37.9</w:t>
            </w:r>
          </w:p>
        </w:tc>
        <w:tc>
          <w:tcPr>
            <w:tcW w:w="290" w:type="dxa"/>
            <w:tcBorders/>
            <w:shd w:fill="CCEEFF" w:val="clear"/>
            <w:vAlign w:val="center"/>
          </w:tcPr>
          <w:p>
            <w:pPr>
              <w:pStyle w:val="TableContents"/>
              <w:bidi w:val="0"/>
              <w:spacing w:before="0" w:after="283"/>
              <w:jc w:val="left"/>
              <w:rPr/>
            </w:pPr>
            <w:r>
              <w:rPr/>
              <w:t>%</w:t>
            </w:r>
          </w:p>
        </w:tc>
      </w:tr>
      <w:tr>
        <w:trPr/>
        <w:tc>
          <w:tcPr>
            <w:tcW w:w="1280" w:type="dxa"/>
            <w:tcBorders/>
            <w:vAlign w:val="center"/>
          </w:tcPr>
          <w:p>
            <w:pPr>
              <w:pStyle w:val="TableContents"/>
              <w:bidi w:val="0"/>
              <w:spacing w:before="0" w:after="283"/>
              <w:jc w:val="left"/>
              <w:rPr/>
            </w:pPr>
            <w:r>
              <w:rPr/>
              <w:t>Southeast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106,037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35.1</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31,549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10.4</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Midwest</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19,272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Southwest</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15,645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5.2</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Mid-Atlantic</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314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International</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14,845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290"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Affiliated/Controlled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investments in portfolio companies designated as Affiliated Investments and Controlled Investments under the 1940 Act. Transactions with Affiliated Investments and Controlled Investments during the six months ended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10925" w:type="dxa"/>
        <w:jc w:val="left"/>
        <w:tblInd w:w="0" w:type="dxa"/>
        <w:tblLayout w:type="fixed"/>
        <w:tblCellMar>
          <w:top w:w="0" w:type="dxa"/>
          <w:left w:w="0" w:type="dxa"/>
          <w:bottom w:w="28" w:type="dxa"/>
          <w:right w:w="0" w:type="dxa"/>
        </w:tblCellMar>
      </w:tblPr>
      <w:tblGrid>
        <w:gridCol w:w="1055"/>
        <w:gridCol w:w="90"/>
        <w:gridCol w:w="905"/>
        <w:gridCol w:w="90"/>
        <w:gridCol w:w="151"/>
        <w:gridCol w:w="934"/>
        <w:gridCol w:w="90"/>
        <w:gridCol w:w="90"/>
        <w:gridCol w:w="160"/>
        <w:gridCol w:w="880"/>
        <w:gridCol w:w="110"/>
        <w:gridCol w:w="90"/>
        <w:gridCol w:w="179"/>
        <w:gridCol w:w="756"/>
        <w:gridCol w:w="90"/>
        <w:gridCol w:w="90"/>
        <w:gridCol w:w="140"/>
        <w:gridCol w:w="830"/>
        <w:gridCol w:w="110"/>
        <w:gridCol w:w="90"/>
        <w:gridCol w:w="140"/>
        <w:gridCol w:w="635"/>
        <w:gridCol w:w="90"/>
        <w:gridCol w:w="90"/>
        <w:gridCol w:w="143"/>
        <w:gridCol w:w="882"/>
        <w:gridCol w:w="90"/>
        <w:gridCol w:w="90"/>
        <w:gridCol w:w="140"/>
        <w:gridCol w:w="770"/>
        <w:gridCol w:w="90"/>
        <w:gridCol w:w="90"/>
        <w:gridCol w:w="140"/>
        <w:gridCol w:w="470"/>
        <w:gridCol w:w="135"/>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Investment</w:t>
            </w:r>
            <w:r>
              <w:rPr>
                <w:rFonts w:ascii="Times New Roman;Times;Serif" w:hAnsi="Times New Roman;Times;Serif"/>
                <w:b/>
                <w:i w:val="false"/>
                <w:caps w:val="false"/>
                <w:smallCaps w:val="false"/>
                <w:position w:val="7"/>
                <w:sz w:val="16"/>
                <w:sz w:val="20"/>
              </w:rPr>
              <w:t>(1)(2)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 of Investment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 at September 30,</w:t>
              <w:br/>
              <w:t>2025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Purchases/</w:t>
              <w:br/>
              <w:t>(Sales) of or Advances/</w:t>
              <w:br/>
              <w:t>(Distributions)</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Transfers In/(Out)</w:t>
              <w:br/>
              <w:t>of Affiliated</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Unrealized</w:t>
              <w:br/>
              <w:t>Gain/(Loss)</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Realized </w:t>
              <w:br/>
              <w:t>Gain/(Loss)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Fair Value at</w:t>
              <w:br/>
              <w:t>March 31,</w:t>
              <w:br/>
              <w:t>2026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Earned </w:t>
              <w:br/>
              <w:t>Income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Fee/Other</w:t>
              <w:br/>
              <w:t>Income</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Affiliated Investments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3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Advocates for Disabled Vets, LLC (dba Reps for Vets)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Senior Secured First Lien Term Loan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8,798,513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(23,545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6" w:type="dxa"/>
            <w:tcBorders/>
            <w:shd w:fill="CCEEFF" w:val="clear"/>
            <w:tcMar>
              <w:bottom w:w="0" w:type="dxa"/>
            </w:tcMar>
            <w:vAlign w:val="center"/>
          </w:tcPr>
          <w:p>
            <w:pPr>
              <w:pStyle w:val="TableContents"/>
              <w:bidi w:val="0"/>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(125,526</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1,171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8,650,613</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545,661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0" w:type="dxa"/>
            <w:tcBorders/>
            <w:shd w:fill="CCEEFF" w:val="clear"/>
            <w:tcMar>
              <w:bottom w:w="0" w:type="dxa"/>
            </w:tcMar>
            <w:vAlign w:val="center"/>
          </w:tcPr>
          <w:p>
            <w:pPr>
              <w:pStyle w:val="TableContents"/>
              <w:bidi w:val="0"/>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13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3,359,511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(561,187</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2,798,324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FST Holdings Parent, LLC</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10,960,741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1,224,663</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12,185,404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268,540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MB Precision Investment Holdings LLC</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Senior Secured First Lien Term Loan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6,398,561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(45,310</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(231,879</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2,325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6,123,697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485,033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Senior Secured Delayed Draw Term Loan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490,306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1,408,804</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(112,984</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1,786,126</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106,789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Senior Secured First Lien Revolver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1,975,347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93,394</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(80,612</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1,988,129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187,758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Senior Secured 6th Amendment Term Loan</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573,803</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(22,923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550,880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770"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shd w:fill="CCEEFF" w:val="clear"/>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Equity</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2,725,408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427,146</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6"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(459,723</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35"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2"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2,692,831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427,146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 w:type="dxa"/>
            <w:tcBorders/>
            <w:tcMar>
              <w:bottom w:w="0" w:type="dxa"/>
            </w:tcM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Warrants</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4"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673,018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0"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6"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(673,018</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2"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35" w:type="dxa"/>
            <w:tcBorders/>
            <w:shd w:fill="CCEEFF" w:val="clear"/>
            <w:tcMar>
              <w:bottom w:w="0" w:type="dxa"/>
            </w:tcM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Affiliated Investments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34"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35,381,405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0"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2,434,292</w:t>
            </w:r>
          </w:p>
        </w:tc>
        <w:tc>
          <w:tcPr>
            <w:tcW w:w="1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56" w:type="dxa"/>
            <w:tcBorders>
              <w:bottom w:val="double" w:sz="10" w:space="0" w:color="000000"/>
            </w:tcBorders>
            <w:vAlign w:val="center"/>
          </w:tcPr>
          <w:p>
            <w:pPr>
              <w:pStyle w:val="TableContents"/>
              <w:bidi w:val="0"/>
              <w:spacing w:before="0" w:after="0"/>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30"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(1,043,189</w:t>
            </w:r>
          </w:p>
        </w:tc>
        <w:tc>
          <w:tcPr>
            <w:tcW w:w="1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35"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3"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82"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36,776,004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70" w:type="dxa"/>
            <w:tcBorders>
              <w:bottom w:val="double" w:sz="10" w:space="0" w:color="000000"/>
            </w:tcBorders>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2,020,927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10"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470" w:type="dxa"/>
            <w:tcBorders>
              <w:bottom w:val="double" w:sz="10" w:space="0" w:color="000000"/>
            </w:tcBorders>
            <w:vAlign w:val="center"/>
          </w:tcPr>
          <w:p>
            <w:pPr>
              <w:pStyle w:val="TableContents"/>
              <w:bidi w:val="0"/>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16"/>
              </w:rPr>
              <w:t>-</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1525" w:type="dxa"/>
        <w:jc w:val="left"/>
        <w:tblInd w:w="0" w:type="dxa"/>
        <w:tblLayout w:type="fixed"/>
        <w:tblCellMar>
          <w:top w:w="0" w:type="dxa"/>
          <w:left w:w="0" w:type="dxa"/>
          <w:bottom w:w="28" w:type="dxa"/>
          <w:right w:w="0" w:type="dxa"/>
        </w:tblCellMar>
      </w:tblPr>
      <w:tblGrid>
        <w:gridCol w:w="920"/>
        <w:gridCol w:w="90"/>
        <w:gridCol w:w="845"/>
        <w:gridCol w:w="90"/>
        <w:gridCol w:w="140"/>
        <w:gridCol w:w="950"/>
        <w:gridCol w:w="90"/>
        <w:gridCol w:w="90"/>
        <w:gridCol w:w="160"/>
        <w:gridCol w:w="880"/>
        <w:gridCol w:w="110"/>
        <w:gridCol w:w="90"/>
        <w:gridCol w:w="140"/>
        <w:gridCol w:w="905"/>
        <w:gridCol w:w="90"/>
        <w:gridCol w:w="90"/>
        <w:gridCol w:w="140"/>
        <w:gridCol w:w="830"/>
        <w:gridCol w:w="110"/>
        <w:gridCol w:w="90"/>
        <w:gridCol w:w="140"/>
        <w:gridCol w:w="905"/>
        <w:gridCol w:w="90"/>
        <w:gridCol w:w="90"/>
        <w:gridCol w:w="140"/>
        <w:gridCol w:w="1130"/>
        <w:gridCol w:w="90"/>
        <w:gridCol w:w="90"/>
        <w:gridCol w:w="140"/>
        <w:gridCol w:w="770"/>
        <w:gridCol w:w="90"/>
        <w:gridCol w:w="90"/>
        <w:gridCol w:w="140"/>
        <w:gridCol w:w="635"/>
        <w:gridCol w:w="135"/>
      </w:tblGrid>
      <w:tr>
        <w:trPr/>
        <w:tc>
          <w:tcPr>
            <w:tcW w:w="920"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Name of Investment</w:t>
            </w:r>
            <w:r>
              <w:rPr>
                <w:rFonts w:ascii="Times New Roman;Times;Serif" w:hAnsi="Times New Roman;Times;Serif"/>
                <w:b/>
                <w:position w:val="5"/>
                <w:sz w:val="13"/>
                <w:sz w:val="16"/>
              </w:rPr>
              <w:t>(1)(2)</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Type of Investment</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90"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Fair Value at September 30,</w:t>
              <w:br/>
              <w:t>2025</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40"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Purchases/</w:t>
              <w:br/>
              <w:t>(Sales) of or Advances/</w:t>
              <w:br/>
              <w:t>(Distributions)</w:t>
            </w:r>
          </w:p>
        </w:tc>
        <w:tc>
          <w:tcPr>
            <w:tcW w:w="11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45"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Transfers In/(Out)</w:t>
              <w:br/>
              <w:t>of Controlled</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70"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Unrealized</w:t>
              <w:br/>
              <w:t>Gain/(Loss)</w:t>
            </w:r>
          </w:p>
        </w:tc>
        <w:tc>
          <w:tcPr>
            <w:tcW w:w="11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045"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 xml:space="preserve">Realized </w:t>
              <w:br/>
              <w:t>Gain/(Loss)</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1270"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Fair Value at</w:t>
              <w:br/>
              <w:t>March 31,</w:t>
              <w:br/>
              <w:t>2026</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10"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 xml:space="preserve">Earned </w:t>
              <w:br/>
              <w:t>Income</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775" w:type="dxa"/>
            <w:gridSpan w:val="2"/>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16"/>
              </w:rPr>
            </w:pPr>
            <w:r>
              <w:rPr>
                <w:rFonts w:ascii="Times New Roman;Times;Serif" w:hAnsi="Times New Roman;Times;Serif"/>
                <w:b/>
                <w:sz w:val="16"/>
              </w:rPr>
              <w:t>Fee/Other</w:t>
              <w:br/>
              <w:t>Income</w:t>
            </w:r>
          </w:p>
        </w:tc>
        <w:tc>
          <w:tcPr>
            <w:tcW w:w="135" w:type="dxa"/>
            <w:tcBorders/>
            <w:tcMar>
              <w:bottom w:w="0" w:type="dxa"/>
            </w:tcMar>
            <w:vAlign w:val="center"/>
          </w:tcPr>
          <w:p>
            <w:pPr>
              <w:pStyle w:val="TableContents"/>
              <w:bidi w:val="0"/>
              <w:spacing w:before="0" w:after="283"/>
              <w:ind w:left="0" w:right="0" w:hanging="0"/>
              <w:jc w:val="left"/>
              <w:rPr/>
            </w:pPr>
            <w:r>
              <w:rPr/>
              <w:t> </w:t>
            </w:r>
          </w:p>
        </w:tc>
      </w:tr>
      <w:tr>
        <w:trPr/>
        <w:tc>
          <w:tcPr>
            <w:tcW w:w="1855" w:type="dxa"/>
            <w:gridSpan w:val="3"/>
            <w:tcBorders/>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Controlled Investments</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88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ECC Capital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5"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5"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0"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16"/>
              </w:rPr>
              <w:t>6,997,012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324,446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6,636,000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88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3,024,000</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9,660,000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79,831</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FlexFIN,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37,180,761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(384,417</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36,796,344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1,907,359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NSG Captive, Inc.</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Equity</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48,469,540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88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6,474,300</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411,853</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55,355,693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250,000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NVTN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Senior Secured First Lien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950,000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(49,250</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9,800,750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518,544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Senior Secured First Lien Term Loan B</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13,427,601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 w:type="dxa"/>
            <w:tcBorders/>
            <w:tcMar>
              <w:bottom w:w="0" w:type="dxa"/>
            </w:tcMar>
            <w:vAlign w:val="center"/>
          </w:tcPr>
          <w:p>
            <w:pPr>
              <w:pStyle w:val="TableContents"/>
              <w:bidi w:val="0"/>
              <w:spacing w:before="0" w:after="283"/>
              <w:jc w:val="left"/>
              <w:rPr/>
            </w:pPr>
            <w:r>
              <w:rPr/>
              <w:t> </w:t>
            </w:r>
          </w:p>
        </w:tc>
        <w:tc>
          <w:tcPr>
            <w:tcW w:w="88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(3,686,008</w:t>
            </w:r>
          </w:p>
        </w:tc>
        <w:tc>
          <w:tcPr>
            <w:tcW w:w="110"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9,741,593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315,797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Senior Secured First Lien Term Loan 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Senior Secured Revolving Note</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0" w:type="dxa"/>
            <w:tcBorders>
              <w:bottom w:val="single" w:sz="12" w:space="0" w:color="000000"/>
            </w:tcBorders>
            <w:vAlign w:val="center"/>
          </w:tcPr>
          <w:p>
            <w:pPr>
              <w:pStyle w:val="TableContents"/>
              <w:bidi w:val="0"/>
              <w:spacing w:before="0" w:after="283"/>
              <w:jc w:val="left"/>
              <w:rPr/>
            </w:pPr>
            <w:r>
              <w:rPr/>
              <w:t> </w:t>
            </w:r>
          </w:p>
        </w:tc>
        <w:tc>
          <w:tcPr>
            <w:tcW w:w="880" w:type="dxa"/>
            <w:tcBorders>
              <w:bottom w:val="single" w:sz="12" w:space="0" w:color="000000"/>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650,000</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130" w:type="dxa"/>
            <w:tcBorders>
              <w:bottom w:val="single" w:sz="12" w:space="0" w:color="000000"/>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12,376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635" w:type="dxa"/>
            <w:tcBorders>
              <w:bottom w:val="single" w:sz="12" w:space="0" w:color="000000"/>
            </w:tcBorders>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Controlled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5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121,610,914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8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7,689,883</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5" w:type="dxa"/>
            <w:tcBorders>
              <w:bottom w:val="double" w:sz="10"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(299,405</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905" w:type="dxa"/>
            <w:tcBorders>
              <w:bottom w:val="double" w:sz="10"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113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129,001,392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70"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3,078,522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35" w:type="dxa"/>
            <w:tcBorders>
              <w:bottom w:val="double" w:sz="10" w:space="0" w:color="000000"/>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329,831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Investments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1075" w:type="dxa"/>
        <w:jc w:val="left"/>
        <w:tblInd w:w="0" w:type="dxa"/>
        <w:tblLayout w:type="fixed"/>
        <w:tblCellMar>
          <w:top w:w="0" w:type="dxa"/>
          <w:left w:w="0" w:type="dxa"/>
          <w:bottom w:w="28" w:type="dxa"/>
          <w:right w:w="0" w:type="dxa"/>
        </w:tblCellMar>
      </w:tblPr>
      <w:tblGrid>
        <w:gridCol w:w="950"/>
        <w:gridCol w:w="90"/>
        <w:gridCol w:w="845"/>
        <w:gridCol w:w="90"/>
        <w:gridCol w:w="151"/>
        <w:gridCol w:w="934"/>
        <w:gridCol w:w="90"/>
        <w:gridCol w:w="90"/>
        <w:gridCol w:w="244"/>
        <w:gridCol w:w="796"/>
        <w:gridCol w:w="90"/>
        <w:gridCol w:w="90"/>
        <w:gridCol w:w="140"/>
        <w:gridCol w:w="1265"/>
        <w:gridCol w:w="90"/>
        <w:gridCol w:w="90"/>
        <w:gridCol w:w="140"/>
        <w:gridCol w:w="695"/>
        <w:gridCol w:w="110"/>
        <w:gridCol w:w="90"/>
        <w:gridCol w:w="148"/>
        <w:gridCol w:w="517"/>
        <w:gridCol w:w="90"/>
        <w:gridCol w:w="90"/>
        <w:gridCol w:w="140"/>
        <w:gridCol w:w="1115"/>
        <w:gridCol w:w="90"/>
        <w:gridCol w:w="90"/>
        <w:gridCol w:w="140"/>
        <w:gridCol w:w="635"/>
        <w:gridCol w:w="90"/>
        <w:gridCol w:w="90"/>
        <w:gridCol w:w="140"/>
        <w:gridCol w:w="485"/>
        <w:gridCol w:w="135"/>
      </w:tblGrid>
      <w:tr>
        <w:trPr/>
        <w:tc>
          <w:tcPr>
            <w:tcW w:w="95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Name of Investment</w:t>
            </w:r>
            <w:r>
              <w:rPr>
                <w:rFonts w:ascii="Times New Roman;Times;Serif" w:hAnsi="Times New Roman;Times;Serif"/>
                <w:b/>
                <w:position w:val="5"/>
                <w:sz w:val="13"/>
                <w:sz w:val="16"/>
              </w:rPr>
              <w:t>(1)(2)</w:t>
            </w:r>
          </w:p>
        </w:tc>
        <w:tc>
          <w:tcPr>
            <w:tcW w:w="9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283"/>
              <w:jc w:val="center"/>
              <w:rPr>
                <w:b/>
                <w:sz w:val="16"/>
              </w:rPr>
            </w:pPr>
            <w:r>
              <w:rPr>
                <w:b/>
                <w:sz w:val="16"/>
              </w:rPr>
              <w:t>Type of Investment</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sz w:val="16"/>
              </w:rPr>
            </w:pPr>
            <w:r>
              <w:rPr>
                <w:b/>
                <w:sz w:val="16"/>
              </w:rPr>
              <w:t>Fair Value at</w:t>
              <w:br/>
              <w:t>September 30,</w:t>
              <w:b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sz w:val="16"/>
              </w:rPr>
            </w:pPr>
            <w:r>
              <w:rPr>
                <w:b/>
                <w:sz w:val="16"/>
              </w:rPr>
              <w:t>Purchases/</w:t>
              <w:br/>
              <w:t>(Sales) of or Advances/</w:t>
              <w:br/>
              <w:t>(Distributions)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5" w:type="dxa"/>
            <w:gridSpan w:val="2"/>
            <w:tcBorders>
              <w:bottom w:val="single" w:sz="12" w:space="0" w:color="000000"/>
            </w:tcBorders>
            <w:vAlign w:val="center"/>
          </w:tcPr>
          <w:p>
            <w:pPr>
              <w:pStyle w:val="TableContents"/>
              <w:bidi w:val="0"/>
              <w:spacing w:before="0" w:after="283"/>
              <w:jc w:val="center"/>
              <w:rPr>
                <w:b/>
                <w:sz w:val="16"/>
              </w:rPr>
            </w:pPr>
            <w:r>
              <w:rPr>
                <w:b/>
                <w:sz w:val="16"/>
              </w:rPr>
              <w:t>Transfers In/(Out)</w:t>
              <w:br/>
              <w:t>of Affiliated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5" w:type="dxa"/>
            <w:gridSpan w:val="2"/>
            <w:tcBorders>
              <w:bottom w:val="single" w:sz="12" w:space="0" w:color="000000"/>
            </w:tcBorders>
            <w:vAlign w:val="center"/>
          </w:tcPr>
          <w:p>
            <w:pPr>
              <w:pStyle w:val="TableContents"/>
              <w:bidi w:val="0"/>
              <w:spacing w:before="0" w:after="283"/>
              <w:jc w:val="center"/>
              <w:rPr>
                <w:b/>
                <w:sz w:val="16"/>
              </w:rPr>
            </w:pPr>
            <w:r>
              <w:rPr>
                <w:b/>
                <w:sz w:val="16"/>
              </w:rPr>
              <w:t>Unrealized</w:t>
              <w:br/>
              <w:t>Gain/(Loss)</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Realized </w:t>
              <w:br/>
              <w:t>Gain/(Loss)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Fair Value at </w:t>
              <w:br/>
              <w:t>March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Earned </w:t>
              <w:br/>
              <w:t>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5" w:type="dxa"/>
            <w:gridSpan w:val="2"/>
            <w:tcBorders>
              <w:bottom w:val="single" w:sz="12" w:space="0" w:color="000000"/>
            </w:tcBorders>
            <w:vAlign w:val="center"/>
          </w:tcPr>
          <w:p>
            <w:pPr>
              <w:pStyle w:val="TableContents"/>
              <w:bidi w:val="0"/>
              <w:spacing w:before="0" w:after="283"/>
              <w:jc w:val="center"/>
              <w:rPr>
                <w:b/>
                <w:sz w:val="16"/>
              </w:rPr>
            </w:pPr>
            <w:r>
              <w:rPr>
                <w:b/>
                <w:sz w:val="16"/>
              </w:rPr>
              <w:t>Fee/Other</w:t>
              <w:br/>
              <w:t>Income</w:t>
            </w:r>
          </w:p>
        </w:tc>
        <w:tc>
          <w:tcPr>
            <w:tcW w:w="135" w:type="dxa"/>
            <w:tcBorders/>
            <w:tcMar>
              <w:bottom w:w="0" w:type="dxa"/>
            </w:tcMar>
            <w:vAlign w:val="center"/>
          </w:tcPr>
          <w:p>
            <w:pPr>
              <w:pStyle w:val="TableContents"/>
              <w:bidi w:val="0"/>
              <w:spacing w:before="0" w:after="283"/>
              <w:jc w:val="left"/>
              <w:rPr/>
            </w:pPr>
            <w:r>
              <w:rPr/>
              <w:t> </w:t>
            </w:r>
          </w:p>
        </w:tc>
      </w:tr>
      <w:tr>
        <w:trPr/>
        <w:tc>
          <w:tcPr>
            <w:tcW w:w="1885" w:type="dxa"/>
            <w:gridSpan w:val="3"/>
            <w:tcBorders/>
            <w:tcMar>
              <w:bottom w:w="0" w:type="dxa"/>
            </w:tcMar>
            <w:vAlign w:val="center"/>
          </w:tcPr>
          <w:p>
            <w:pPr>
              <w:pStyle w:val="TableContents"/>
              <w:bidi w:val="0"/>
              <w:spacing w:before="0" w:after="283"/>
              <w:jc w:val="left"/>
              <w:rPr>
                <w:b/>
                <w:sz w:val="16"/>
              </w:rPr>
            </w:pPr>
            <w:r>
              <w:rPr>
                <w:b/>
                <w:sz w:val="16"/>
              </w:rPr>
              <w:t>Affiliated Investments</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6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2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sz w:val="16"/>
              </w:rPr>
            </w:pPr>
            <w:r>
              <w:rPr>
                <w:sz w:val="16"/>
              </w:rPr>
              <w:t>Black Angus Steakhouses,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sz w:val="16"/>
              </w:rPr>
            </w:pPr>
            <w:r>
              <w:rPr>
                <w:sz w:val="16"/>
              </w:rPr>
              <w:t>Senior Secured First Lien Delayed Draw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sz w:val="16"/>
              </w:rPr>
            </w:pPr>
            <w:r>
              <w:rPr>
                <w:sz w:val="16"/>
              </w:rPr>
              <w:t>$</w:t>
            </w:r>
          </w:p>
        </w:tc>
        <w:tc>
          <w:tcPr>
            <w:tcW w:w="934" w:type="dxa"/>
            <w:tcBorders/>
            <w:shd w:fill="CCEEFF" w:val="clear"/>
            <w:tcMar>
              <w:bottom w:w="0" w:type="dxa"/>
            </w:tcMar>
            <w:vAlign w:val="center"/>
          </w:tcPr>
          <w:p>
            <w:pPr>
              <w:pStyle w:val="TableContents"/>
              <w:bidi w:val="0"/>
              <w:spacing w:before="0" w:after="283"/>
              <w:jc w:val="right"/>
              <w:rPr>
                <w:sz w:val="16"/>
              </w:rPr>
            </w:pPr>
            <w:r>
              <w:rPr>
                <w:sz w:val="16"/>
              </w:rPr>
              <w:t>751,207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4" w:type="dxa"/>
            <w:tcBorders/>
            <w:shd w:fill="CCEEFF" w:val="clear"/>
            <w:tcMar>
              <w:bottom w:w="0" w:type="dxa"/>
            </w:tcMar>
            <w:vAlign w:val="center"/>
          </w:tcPr>
          <w:p>
            <w:pPr>
              <w:pStyle w:val="TableContents"/>
              <w:bidi w:val="0"/>
              <w:spacing w:before="0" w:after="283"/>
              <w:jc w:val="left"/>
              <w:rPr>
                <w:sz w:val="16"/>
              </w:rPr>
            </w:pPr>
            <w:r>
              <w:rPr>
                <w:sz w:val="16"/>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1265"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695" w:type="dxa"/>
            <w:tcBorders/>
            <w:shd w:fill="CCEEFF" w:val="clear"/>
            <w:tcMar>
              <w:bottom w:w="0" w:type="dxa"/>
            </w:tcMar>
            <w:vAlign w:val="center"/>
          </w:tcPr>
          <w:p>
            <w:pPr>
              <w:pStyle w:val="TableContents"/>
              <w:bidi w:val="0"/>
              <w:spacing w:before="0" w:after="283"/>
              <w:jc w:val="right"/>
              <w:rPr>
                <w:sz w:val="16"/>
              </w:rPr>
            </w:pPr>
            <w:r>
              <w:rPr>
                <w:sz w:val="16"/>
              </w:rPr>
              <w:t>(302,288</w:t>
            </w:r>
          </w:p>
        </w:tc>
        <w:tc>
          <w:tcPr>
            <w:tcW w:w="110" w:type="dxa"/>
            <w:tcBorders/>
            <w:shd w:fill="CCEEFF" w:val="clear"/>
            <w:tcMar>
              <w:bottom w:w="0" w:type="dxa"/>
            </w:tcMar>
            <w:vAlign w:val="center"/>
          </w:tcPr>
          <w:p>
            <w:pPr>
              <w:pStyle w:val="TableContents"/>
              <w:bidi w:val="0"/>
              <w:spacing w:before="0" w:after="283"/>
              <w:jc w:val="left"/>
              <w:rPr>
                <w:sz w:val="16"/>
              </w:rPr>
            </w:pPr>
            <w:r>
              <w:rPr>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shd w:fill="CCEEFF" w:val="clear"/>
            <w:tcMar>
              <w:bottom w:w="0" w:type="dxa"/>
            </w:tcMar>
            <w:vAlign w:val="center"/>
          </w:tcPr>
          <w:p>
            <w:pPr>
              <w:pStyle w:val="TableContents"/>
              <w:bidi w:val="0"/>
              <w:spacing w:before="0" w:after="283"/>
              <w:jc w:val="left"/>
              <w:rPr>
                <w:sz w:val="16"/>
              </w:rPr>
            </w:pPr>
            <w:r>
              <w:rPr>
                <w:sz w:val="16"/>
              </w:rPr>
              <w:t>$</w:t>
            </w:r>
          </w:p>
        </w:tc>
        <w:tc>
          <w:tcPr>
            <w:tcW w:w="517"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1115" w:type="dxa"/>
            <w:tcBorders/>
            <w:shd w:fill="CCEEFF" w:val="clear"/>
            <w:tcMar>
              <w:bottom w:w="0" w:type="dxa"/>
            </w:tcMar>
            <w:vAlign w:val="center"/>
          </w:tcPr>
          <w:p>
            <w:pPr>
              <w:pStyle w:val="TableContents"/>
              <w:bidi w:val="0"/>
              <w:spacing w:before="0" w:after="283"/>
              <w:jc w:val="right"/>
              <w:rPr/>
            </w:pPr>
            <w:r>
              <w:rPr/>
              <w:t>        </w:t>
            </w:r>
            <w:r>
              <w:rPr>
                <w:sz w:val="16"/>
              </w:rPr>
              <w:t>448,919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63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485" w:type="dxa"/>
            <w:tcBorders/>
            <w:shd w:fill="CCEEFF" w:val="clear"/>
            <w:tcMar>
              <w:bottom w:w="0" w:type="dxa"/>
            </w:tcMar>
            <w:vAlign w:val="center"/>
          </w:tcPr>
          <w:p>
            <w:pPr>
              <w:pStyle w:val="TableContents"/>
              <w:bidi w:val="0"/>
              <w:spacing w:before="0" w:after="283"/>
              <w:jc w:val="right"/>
              <w:rPr/>
            </w:pPr>
            <w:r>
              <w:rPr/>
              <w:t>      </w:t>
            </w: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sz w:val="16"/>
              </w:rPr>
            </w:pPr>
            <w:r>
              <w:rPr>
                <w:sz w:val="16"/>
              </w:rPr>
              <w:t>Senior Secured First Lien Super Priority DDTL</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right"/>
              <w:rPr>
                <w:sz w:val="16"/>
              </w:rPr>
            </w:pPr>
            <w:r>
              <w:rPr>
                <w:sz w:val="16"/>
              </w:rPr>
              <w:t>1,647,776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4" w:type="dxa"/>
            <w:tcBorders/>
            <w:tcMar>
              <w:bottom w:w="0" w:type="dxa"/>
            </w:tcMar>
            <w:vAlign w:val="center"/>
          </w:tcPr>
          <w:p>
            <w:pPr>
              <w:pStyle w:val="TableContents"/>
              <w:bidi w:val="0"/>
              <w:spacing w:before="0" w:after="283"/>
              <w:jc w:val="left"/>
              <w:rPr/>
            </w:pPr>
            <w:r>
              <w:rPr/>
              <w:t> </w:t>
            </w:r>
          </w:p>
        </w:tc>
        <w:tc>
          <w:tcPr>
            <w:tcW w:w="79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26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right"/>
              <w:rPr>
                <w:sz w:val="16"/>
              </w:rPr>
            </w:pPr>
            <w:r>
              <w:rPr>
                <w:sz w:val="16"/>
              </w:rPr>
              <w:t>(663,070</w:t>
            </w:r>
          </w:p>
        </w:tc>
        <w:tc>
          <w:tcPr>
            <w:tcW w:w="110" w:type="dxa"/>
            <w:tcBorders/>
            <w:tcMar>
              <w:bottom w:w="0" w:type="dxa"/>
            </w:tcMar>
            <w:vAlign w:val="center"/>
          </w:tcPr>
          <w:p>
            <w:pPr>
              <w:pStyle w:val="TableContents"/>
              <w:bidi w:val="0"/>
              <w:spacing w:before="0" w:after="283"/>
              <w:jc w:val="left"/>
              <w:rPr>
                <w:sz w:val="16"/>
              </w:rPr>
            </w:pPr>
            <w:r>
              <w:rPr>
                <w:sz w:val="16"/>
              </w:rPr>
              <w:t>)</w:t>
            </w:r>
          </w:p>
        </w:tc>
        <w:tc>
          <w:tcPr>
            <w:tcW w:w="90" w:type="dxa"/>
            <w:tcBorders/>
            <w:tcMar>
              <w:bottom w:w="0" w:type="dxa"/>
            </w:tcMar>
            <w:vAlign w:val="center"/>
          </w:tcPr>
          <w:p>
            <w:pPr>
              <w:pStyle w:val="TableContents"/>
              <w:bidi w:val="0"/>
              <w:spacing w:before="0" w:after="283"/>
              <w:jc w:val="left"/>
              <w:rPr/>
            </w:pPr>
            <w:r>
              <w:rPr/>
              <w:t> </w:t>
            </w:r>
          </w:p>
        </w:tc>
        <w:tc>
          <w:tcPr>
            <w:tcW w:w="148" w:type="dxa"/>
            <w:tcBorders/>
            <w:tcMar>
              <w:bottom w:w="0" w:type="dxa"/>
            </w:tcMar>
            <w:vAlign w:val="center"/>
          </w:tcPr>
          <w:p>
            <w:pPr>
              <w:pStyle w:val="TableContents"/>
              <w:bidi w:val="0"/>
              <w:spacing w:before="0" w:after="283"/>
              <w:jc w:val="left"/>
              <w:rPr/>
            </w:pPr>
            <w:r>
              <w:rPr/>
              <w:t> </w:t>
            </w:r>
          </w:p>
        </w:tc>
        <w:tc>
          <w:tcPr>
            <w:tcW w:w="51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sz w:val="16"/>
              </w:rPr>
            </w:pPr>
            <w:r>
              <w:rPr>
                <w:sz w:val="16"/>
              </w:rPr>
              <w:t>984,706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50" w:type="dxa"/>
            <w:tcBorders/>
            <w:shd w:fill="CCEEFF" w:val="clear"/>
            <w:tcMar>
              <w:bottom w:w="0" w:type="dxa"/>
            </w:tcMar>
            <w:vAlign w:val="center"/>
          </w:tcPr>
          <w:p>
            <w:pPr>
              <w:pStyle w:val="TableContents"/>
              <w:bidi w:val="0"/>
              <w:spacing w:before="0" w:after="283"/>
              <w:jc w:val="left"/>
              <w:rPr>
                <w:sz w:val="16"/>
              </w:rPr>
            </w:pPr>
            <w:r>
              <w:rPr>
                <w:sz w:val="16"/>
              </w:rPr>
              <w:t>FST Holdings Parent, LLC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sz w:val="16"/>
              </w:rPr>
            </w:pPr>
            <w:r>
              <w:rPr>
                <w:sz w:val="16"/>
              </w:rPr>
              <w:t>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shd w:fill="CCEEFF" w:val="clear"/>
            <w:vAlign w:val="center"/>
          </w:tcPr>
          <w:p>
            <w:pPr>
              <w:pStyle w:val="TableContents"/>
              <w:bidi w:val="0"/>
              <w:spacing w:before="0" w:after="283"/>
              <w:jc w:val="left"/>
              <w:rPr/>
            </w:pPr>
            <w:r>
              <w:rPr/>
              <w:t> </w:t>
            </w:r>
          </w:p>
        </w:tc>
        <w:tc>
          <w:tcPr>
            <w:tcW w:w="934" w:type="dxa"/>
            <w:tcBorders>
              <w:bottom w:val="single" w:sz="12" w:space="0" w:color="000000"/>
            </w:tcBorders>
            <w:shd w:fill="CCEEFF" w:val="clear"/>
            <w:vAlign w:val="center"/>
          </w:tcPr>
          <w:p>
            <w:pPr>
              <w:pStyle w:val="TableContents"/>
              <w:bidi w:val="0"/>
              <w:spacing w:before="0" w:after="283"/>
              <w:jc w:val="right"/>
              <w:rPr>
                <w:sz w:val="16"/>
              </w:rPr>
            </w:pPr>
            <w:r>
              <w:rPr>
                <w:sz w:val="16"/>
              </w:rPr>
              <w:t>12,351,802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4" w:type="dxa"/>
            <w:tcBorders>
              <w:bottom w:val="single" w:sz="12" w:space="0" w:color="000000"/>
            </w:tcBorders>
            <w:shd w:fill="CCEEFF" w:val="clear"/>
            <w:vAlign w:val="center"/>
          </w:tcPr>
          <w:p>
            <w:pPr>
              <w:pStyle w:val="TableContents"/>
              <w:bidi w:val="0"/>
              <w:spacing w:before="0" w:after="283"/>
              <w:jc w:val="left"/>
              <w:rPr/>
            </w:pPr>
            <w:r>
              <w:rPr/>
              <w:t> </w:t>
            </w:r>
          </w:p>
        </w:tc>
        <w:tc>
          <w:tcPr>
            <w:tcW w:w="796" w:type="dxa"/>
            <w:tcBorders>
              <w:bottom w:val="single" w:sz="12" w:space="0" w:color="000000"/>
            </w:tcBorders>
            <w:shd w:fill="CCEEFF" w:val="clear"/>
            <w:vAlign w:val="center"/>
          </w:tcPr>
          <w:p>
            <w:pPr>
              <w:pStyle w:val="TableContents"/>
              <w:bidi w:val="0"/>
              <w:spacing w:before="0" w:after="283"/>
              <w:jc w:val="right"/>
              <w:rPr>
                <w:sz w:val="16"/>
              </w:rPr>
            </w:pPr>
            <w:r>
              <w:rPr>
                <w:sz w:val="16"/>
              </w:rPr>
              <w:t>8,289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65"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95" w:type="dxa"/>
            <w:tcBorders>
              <w:bottom w:val="single" w:sz="12" w:space="0" w:color="000000"/>
            </w:tcBorders>
            <w:shd w:fill="CCEEFF" w:val="clear"/>
            <w:vAlign w:val="center"/>
          </w:tcPr>
          <w:p>
            <w:pPr>
              <w:pStyle w:val="TableContents"/>
              <w:bidi w:val="0"/>
              <w:spacing w:before="0" w:after="283"/>
              <w:jc w:val="right"/>
              <w:rPr>
                <w:sz w:val="16"/>
              </w:rPr>
            </w:pPr>
            <w:r>
              <w:rPr>
                <w:sz w:val="16"/>
              </w:rPr>
              <w:t>(16,195</w:t>
            </w:r>
          </w:p>
        </w:tc>
        <w:tc>
          <w:tcPr>
            <w:tcW w:w="110" w:type="dxa"/>
            <w:tcBorders/>
            <w:shd w:fill="CCEEFF" w:val="clear"/>
            <w:tcMar>
              <w:bottom w:w="0" w:type="dxa"/>
            </w:tcMar>
            <w:vAlign w:val="center"/>
          </w:tcPr>
          <w:p>
            <w:pPr>
              <w:pStyle w:val="TableContents"/>
              <w:bidi w:val="0"/>
              <w:spacing w:before="0" w:after="283"/>
              <w:jc w:val="left"/>
              <w:rPr>
                <w:sz w:val="16"/>
              </w:rPr>
            </w:pPr>
            <w:r>
              <w:rPr>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8" w:type="dxa"/>
            <w:tcBorders>
              <w:bottom w:val="single" w:sz="12" w:space="0" w:color="000000"/>
            </w:tcBorders>
            <w:shd w:fill="CCEEFF" w:val="clear"/>
            <w:vAlign w:val="center"/>
          </w:tcPr>
          <w:p>
            <w:pPr>
              <w:pStyle w:val="TableContents"/>
              <w:bidi w:val="0"/>
              <w:spacing w:before="0" w:after="283"/>
              <w:jc w:val="left"/>
              <w:rPr/>
            </w:pPr>
            <w:r>
              <w:rPr/>
              <w:t> </w:t>
            </w:r>
          </w:p>
        </w:tc>
        <w:tc>
          <w:tcPr>
            <w:tcW w:w="517"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sz w:val="16"/>
              </w:rPr>
            </w:pPr>
            <w:r>
              <w:rPr>
                <w:sz w:val="16"/>
              </w:rPr>
              <w:t>12,343,896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635" w:type="dxa"/>
            <w:tcBorders>
              <w:bottom w:val="single" w:sz="12" w:space="0" w:color="000000"/>
            </w:tcBorders>
            <w:shd w:fill="CCEEFF" w:val="clear"/>
            <w:vAlign w:val="center"/>
          </w:tcPr>
          <w:p>
            <w:pPr>
              <w:pStyle w:val="TableContents"/>
              <w:bidi w:val="0"/>
              <w:spacing w:before="0" w:after="283"/>
              <w:jc w:val="right"/>
              <w:rPr>
                <w:sz w:val="16"/>
              </w:rPr>
            </w:pPr>
            <w:r>
              <w:rPr>
                <w:sz w:val="16"/>
              </w:rPr>
              <w:t>254,231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485"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50" w:type="dxa"/>
            <w:tcBorders/>
            <w:tcMar>
              <w:bottom w:w="0" w:type="dxa"/>
            </w:tcMar>
            <w:vAlign w:val="center"/>
          </w:tcPr>
          <w:p>
            <w:pPr>
              <w:pStyle w:val="TableContents"/>
              <w:bidi w:val="0"/>
              <w:spacing w:before="0" w:after="283"/>
              <w:jc w:val="left"/>
              <w:rPr>
                <w:b/>
                <w:sz w:val="16"/>
              </w:rPr>
            </w:pPr>
            <w:r>
              <w:rPr>
                <w:b/>
                <w:sz w:val="16"/>
              </w:rPr>
              <w:t>Total Affiliated Investments</w:t>
            </w:r>
          </w:p>
        </w:tc>
        <w:tc>
          <w:tcPr>
            <w:tcW w:w="9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1" w:type="dxa"/>
            <w:tcBorders>
              <w:bottom w:val="double" w:sz="10" w:space="0" w:color="000000"/>
            </w:tcBorders>
            <w:vAlign w:val="center"/>
          </w:tcPr>
          <w:p>
            <w:pPr>
              <w:pStyle w:val="TableContents"/>
              <w:bidi w:val="0"/>
              <w:spacing w:before="0" w:after="283"/>
              <w:jc w:val="left"/>
              <w:rPr>
                <w:sz w:val="16"/>
              </w:rPr>
            </w:pPr>
            <w:r>
              <w:rPr>
                <w:sz w:val="16"/>
              </w:rPr>
              <w:t>$</w:t>
            </w:r>
          </w:p>
        </w:tc>
        <w:tc>
          <w:tcPr>
            <w:tcW w:w="934" w:type="dxa"/>
            <w:tcBorders>
              <w:bottom w:val="double" w:sz="10" w:space="0" w:color="000000"/>
            </w:tcBorders>
            <w:vAlign w:val="center"/>
          </w:tcPr>
          <w:p>
            <w:pPr>
              <w:pStyle w:val="TableContents"/>
              <w:bidi w:val="0"/>
              <w:spacing w:before="0" w:after="283"/>
              <w:jc w:val="right"/>
              <w:rPr>
                <w:sz w:val="16"/>
              </w:rPr>
            </w:pPr>
            <w:r>
              <w:rPr>
                <w:sz w:val="16"/>
              </w:rPr>
              <w:t>14,750,785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4" w:type="dxa"/>
            <w:tcBorders>
              <w:bottom w:val="double" w:sz="10" w:space="0" w:color="000000"/>
            </w:tcBorders>
            <w:vAlign w:val="center"/>
          </w:tcPr>
          <w:p>
            <w:pPr>
              <w:pStyle w:val="TableContents"/>
              <w:bidi w:val="0"/>
              <w:spacing w:before="0" w:after="283"/>
              <w:jc w:val="left"/>
              <w:rPr>
                <w:sz w:val="16"/>
              </w:rPr>
            </w:pPr>
            <w:r>
              <w:rPr>
                <w:sz w:val="16"/>
              </w:rPr>
              <w:t>$</w:t>
            </w:r>
          </w:p>
        </w:tc>
        <w:tc>
          <w:tcPr>
            <w:tcW w:w="796" w:type="dxa"/>
            <w:tcBorders>
              <w:bottom w:val="double" w:sz="10" w:space="0" w:color="000000"/>
            </w:tcBorders>
            <w:vAlign w:val="center"/>
          </w:tcPr>
          <w:p>
            <w:pPr>
              <w:pStyle w:val="TableContents"/>
              <w:bidi w:val="0"/>
              <w:spacing w:before="0" w:after="283"/>
              <w:jc w:val="right"/>
              <w:rPr>
                <w:sz w:val="16"/>
              </w:rPr>
            </w:pPr>
            <w:r>
              <w:rPr>
                <w:sz w:val="16"/>
              </w:rPr>
              <w:t>8,289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sz w:val="16"/>
              </w:rPr>
            </w:pPr>
            <w:r>
              <w:rPr>
                <w:sz w:val="16"/>
              </w:rPr>
              <w:t>$</w:t>
            </w:r>
          </w:p>
        </w:tc>
        <w:tc>
          <w:tcPr>
            <w:tcW w:w="1265"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sz w:val="16"/>
              </w:rPr>
            </w:pPr>
            <w:r>
              <w:rPr>
                <w:sz w:val="16"/>
              </w:rPr>
              <w:t>$</w:t>
            </w:r>
          </w:p>
        </w:tc>
        <w:tc>
          <w:tcPr>
            <w:tcW w:w="695" w:type="dxa"/>
            <w:tcBorders>
              <w:bottom w:val="double" w:sz="10" w:space="0" w:color="000000"/>
            </w:tcBorders>
            <w:vAlign w:val="center"/>
          </w:tcPr>
          <w:p>
            <w:pPr>
              <w:pStyle w:val="TableContents"/>
              <w:bidi w:val="0"/>
              <w:spacing w:before="0" w:after="283"/>
              <w:jc w:val="right"/>
              <w:rPr>
                <w:sz w:val="16"/>
              </w:rPr>
            </w:pPr>
            <w:r>
              <w:rPr>
                <w:sz w:val="16"/>
              </w:rPr>
              <w:t>(981,553</w:t>
            </w:r>
          </w:p>
        </w:tc>
        <w:tc>
          <w:tcPr>
            <w:tcW w:w="110" w:type="dxa"/>
            <w:tcBorders/>
            <w:tcMar>
              <w:bottom w:w="0" w:type="dxa"/>
            </w:tcMar>
            <w:vAlign w:val="center"/>
          </w:tcPr>
          <w:p>
            <w:pPr>
              <w:pStyle w:val="TableContents"/>
              <w:bidi w:val="0"/>
              <w:spacing w:before="0" w:after="283"/>
              <w:jc w:val="left"/>
              <w:rPr>
                <w:sz w:val="16"/>
              </w:rPr>
            </w:pPr>
            <w:r>
              <w:rPr>
                <w:sz w:val="16"/>
              </w:rPr>
              <w:t>)</w:t>
            </w:r>
          </w:p>
        </w:tc>
        <w:tc>
          <w:tcPr>
            <w:tcW w:w="90" w:type="dxa"/>
            <w:tcBorders/>
            <w:tcMar>
              <w:bottom w:w="0" w:type="dxa"/>
            </w:tcMar>
            <w:vAlign w:val="center"/>
          </w:tcPr>
          <w:p>
            <w:pPr>
              <w:pStyle w:val="TableContents"/>
              <w:bidi w:val="0"/>
              <w:spacing w:before="0" w:after="283"/>
              <w:jc w:val="left"/>
              <w:rPr/>
            </w:pPr>
            <w:r>
              <w:rPr/>
              <w:t> </w:t>
            </w:r>
          </w:p>
        </w:tc>
        <w:tc>
          <w:tcPr>
            <w:tcW w:w="148" w:type="dxa"/>
            <w:tcBorders>
              <w:bottom w:val="double" w:sz="10" w:space="0" w:color="000000"/>
            </w:tcBorders>
            <w:vAlign w:val="center"/>
          </w:tcPr>
          <w:p>
            <w:pPr>
              <w:pStyle w:val="TableContents"/>
              <w:bidi w:val="0"/>
              <w:spacing w:before="0" w:after="283"/>
              <w:jc w:val="left"/>
              <w:rPr>
                <w:sz w:val="16"/>
              </w:rPr>
            </w:pPr>
            <w:r>
              <w:rPr>
                <w:sz w:val="16"/>
              </w:rPr>
              <w:t>$</w:t>
            </w:r>
          </w:p>
        </w:tc>
        <w:tc>
          <w:tcPr>
            <w:tcW w:w="517"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sz w:val="16"/>
              </w:rPr>
            </w:pPr>
            <w:r>
              <w:rPr>
                <w:sz w:val="16"/>
              </w:rPr>
              <w:t>$</w:t>
            </w:r>
          </w:p>
        </w:tc>
        <w:tc>
          <w:tcPr>
            <w:tcW w:w="1115" w:type="dxa"/>
            <w:tcBorders>
              <w:bottom w:val="double" w:sz="10" w:space="0" w:color="000000"/>
            </w:tcBorders>
            <w:vAlign w:val="center"/>
          </w:tcPr>
          <w:p>
            <w:pPr>
              <w:pStyle w:val="TableContents"/>
              <w:bidi w:val="0"/>
              <w:spacing w:before="0" w:after="283"/>
              <w:jc w:val="right"/>
              <w:rPr>
                <w:sz w:val="16"/>
              </w:rPr>
            </w:pPr>
            <w:r>
              <w:rPr>
                <w:sz w:val="16"/>
              </w:rPr>
              <w:t>13,777,521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sz w:val="16"/>
              </w:rPr>
            </w:pPr>
            <w:r>
              <w:rPr>
                <w:sz w:val="16"/>
              </w:rPr>
              <w:t>$</w:t>
            </w:r>
          </w:p>
        </w:tc>
        <w:tc>
          <w:tcPr>
            <w:tcW w:w="635" w:type="dxa"/>
            <w:tcBorders>
              <w:bottom w:val="double" w:sz="10" w:space="0" w:color="000000"/>
            </w:tcBorders>
            <w:vAlign w:val="center"/>
          </w:tcPr>
          <w:p>
            <w:pPr>
              <w:pStyle w:val="TableContents"/>
              <w:bidi w:val="0"/>
              <w:spacing w:before="0" w:after="283"/>
              <w:jc w:val="right"/>
              <w:rPr>
                <w:sz w:val="16"/>
              </w:rPr>
            </w:pPr>
            <w:r>
              <w:rPr>
                <w:sz w:val="16"/>
              </w:rPr>
              <w:t>254,231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sz w:val="16"/>
              </w:rPr>
            </w:pPr>
            <w:r>
              <w:rPr>
                <w:sz w:val="16"/>
              </w:rPr>
              <w:t>$</w:t>
            </w:r>
          </w:p>
        </w:tc>
        <w:tc>
          <w:tcPr>
            <w:tcW w:w="485" w:type="dxa"/>
            <w:tcBorders>
              <w:bottom w:val="double" w:sz="10" w:space="0" w:color="000000"/>
            </w:tcBorders>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230" w:type="dxa"/>
        <w:jc w:val="left"/>
        <w:tblInd w:w="0" w:type="dxa"/>
        <w:tblLayout w:type="fixed"/>
        <w:tblCellMar>
          <w:top w:w="0" w:type="dxa"/>
          <w:left w:w="0" w:type="dxa"/>
          <w:bottom w:w="28" w:type="dxa"/>
          <w:right w:w="0" w:type="dxa"/>
        </w:tblCellMar>
      </w:tblPr>
      <w:tblGrid>
        <w:gridCol w:w="920"/>
        <w:gridCol w:w="90"/>
        <w:gridCol w:w="845"/>
        <w:gridCol w:w="90"/>
        <w:gridCol w:w="151"/>
        <w:gridCol w:w="934"/>
        <w:gridCol w:w="90"/>
        <w:gridCol w:w="90"/>
        <w:gridCol w:w="145"/>
        <w:gridCol w:w="895"/>
        <w:gridCol w:w="90"/>
        <w:gridCol w:w="90"/>
        <w:gridCol w:w="140"/>
        <w:gridCol w:w="785"/>
        <w:gridCol w:w="90"/>
        <w:gridCol w:w="90"/>
        <w:gridCol w:w="140"/>
        <w:gridCol w:w="830"/>
        <w:gridCol w:w="110"/>
        <w:gridCol w:w="90"/>
        <w:gridCol w:w="140"/>
        <w:gridCol w:w="785"/>
        <w:gridCol w:w="90"/>
        <w:gridCol w:w="90"/>
        <w:gridCol w:w="140"/>
        <w:gridCol w:w="950"/>
        <w:gridCol w:w="90"/>
        <w:gridCol w:w="90"/>
        <w:gridCol w:w="140"/>
        <w:gridCol w:w="770"/>
        <w:gridCol w:w="90"/>
        <w:gridCol w:w="90"/>
        <w:gridCol w:w="140"/>
        <w:gridCol w:w="785"/>
        <w:gridCol w:w="135"/>
      </w:tblGrid>
      <w:tr>
        <w:trPr/>
        <w:tc>
          <w:tcPr>
            <w:tcW w:w="920"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Name of Investment</w:t>
            </w:r>
            <w:r>
              <w:rPr>
                <w:rFonts w:ascii="Times New Roman;Times;Serif" w:hAnsi="Times New Roman;Times;Serif"/>
                <w:b/>
                <w:position w:val="5"/>
                <w:sz w:val="13"/>
                <w:sz w:val="16"/>
              </w:rPr>
              <w:t>(1)(2)</w:t>
            </w:r>
          </w:p>
        </w:tc>
        <w:tc>
          <w:tcPr>
            <w:tcW w:w="9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283"/>
              <w:jc w:val="center"/>
              <w:rPr>
                <w:b/>
                <w:sz w:val="16"/>
              </w:rPr>
            </w:pPr>
            <w:r>
              <w:rPr>
                <w:b/>
                <w:sz w:val="16"/>
              </w:rPr>
              <w:t>Type of Investment</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bottom w:val="single" w:sz="12" w:space="0" w:color="000000"/>
            </w:tcBorders>
            <w:vAlign w:val="center"/>
          </w:tcPr>
          <w:p>
            <w:pPr>
              <w:pStyle w:val="TableContents"/>
              <w:bidi w:val="0"/>
              <w:spacing w:before="0" w:after="283"/>
              <w:jc w:val="center"/>
              <w:rPr>
                <w:b/>
                <w:sz w:val="16"/>
              </w:rPr>
            </w:pPr>
            <w:r>
              <w:rPr>
                <w:b/>
                <w:sz w:val="16"/>
              </w:rPr>
              <w:t>Fair Value at</w:t>
              <w:br/>
              <w:t>September 30,</w:t>
              <w:br/>
              <w:t>2024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sz w:val="16"/>
              </w:rPr>
            </w:pPr>
            <w:r>
              <w:rPr>
                <w:b/>
                <w:sz w:val="16"/>
              </w:rPr>
              <w:t>Purchases/</w:t>
              <w:br/>
              <w:t>(Sales) of or Advances/</w:t>
              <w:br/>
              <w:t>(Distributions)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bottom w:val="single" w:sz="12" w:space="0" w:color="000000"/>
            </w:tcBorders>
            <w:vAlign w:val="center"/>
          </w:tcPr>
          <w:p>
            <w:pPr>
              <w:pStyle w:val="TableContents"/>
              <w:bidi w:val="0"/>
              <w:spacing w:before="0" w:after="283"/>
              <w:jc w:val="center"/>
              <w:rPr>
                <w:b/>
                <w:sz w:val="16"/>
              </w:rPr>
            </w:pPr>
            <w:r>
              <w:rPr>
                <w:b/>
                <w:sz w:val="16"/>
              </w:rPr>
              <w:t>Transfers In/(Out)</w:t>
              <w:br/>
              <w:t>of Controlled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12" w:space="0" w:color="000000"/>
            </w:tcBorders>
            <w:vAlign w:val="center"/>
          </w:tcPr>
          <w:p>
            <w:pPr>
              <w:pStyle w:val="TableContents"/>
              <w:bidi w:val="0"/>
              <w:spacing w:before="0" w:after="283"/>
              <w:jc w:val="center"/>
              <w:rPr>
                <w:b/>
                <w:sz w:val="16"/>
              </w:rPr>
            </w:pPr>
            <w:r>
              <w:rPr>
                <w:b/>
                <w:sz w:val="16"/>
              </w:rPr>
              <w:t>Unrealized</w:t>
              <w:br/>
              <w:t>Gain/(Loss)</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Realized </w:t>
              <w:br/>
              <w:t>Gain/(Loss)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Fair Value at </w:t>
              <w:br/>
              <w:t>March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12" w:space="0" w:color="000000"/>
            </w:tcBorders>
            <w:vAlign w:val="center"/>
          </w:tcPr>
          <w:p>
            <w:pPr>
              <w:pStyle w:val="TableContents"/>
              <w:bidi w:val="0"/>
              <w:spacing w:before="0" w:after="283"/>
              <w:jc w:val="center"/>
              <w:rPr>
                <w:b/>
                <w:sz w:val="16"/>
              </w:rPr>
            </w:pPr>
            <w:r>
              <w:rPr>
                <w:b/>
                <w:sz w:val="16"/>
              </w:rPr>
              <w:t xml:space="preserve">Earned </w:t>
              <w:br/>
              <w:t>Income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bottom w:val="single" w:sz="12" w:space="0" w:color="000000"/>
            </w:tcBorders>
            <w:vAlign w:val="center"/>
          </w:tcPr>
          <w:p>
            <w:pPr>
              <w:pStyle w:val="TableContents"/>
              <w:bidi w:val="0"/>
              <w:spacing w:before="0" w:after="283"/>
              <w:jc w:val="center"/>
              <w:rPr>
                <w:b/>
                <w:sz w:val="16"/>
              </w:rPr>
            </w:pPr>
            <w:r>
              <w:rPr>
                <w:b/>
                <w:sz w:val="16"/>
              </w:rPr>
              <w:t>Fee/Other</w:t>
              <w:br/>
              <w:t>Income</w:t>
            </w:r>
          </w:p>
        </w:tc>
        <w:tc>
          <w:tcPr>
            <w:tcW w:w="135" w:type="dxa"/>
            <w:tcBorders/>
            <w:tcMar>
              <w:bottom w:w="0" w:type="dxa"/>
            </w:tcMar>
            <w:vAlign w:val="center"/>
          </w:tcPr>
          <w:p>
            <w:pPr>
              <w:pStyle w:val="TableContents"/>
              <w:bidi w:val="0"/>
              <w:spacing w:before="0" w:after="283"/>
              <w:jc w:val="left"/>
              <w:rPr/>
            </w:pPr>
            <w:r>
              <w:rPr/>
              <w:t> </w:t>
            </w:r>
          </w:p>
        </w:tc>
      </w:tr>
      <w:tr>
        <w:trPr/>
        <w:tc>
          <w:tcPr>
            <w:tcW w:w="1855" w:type="dxa"/>
            <w:gridSpan w:val="3"/>
            <w:tcBorders/>
            <w:tcMar>
              <w:bottom w:w="0" w:type="dxa"/>
            </w:tcMar>
            <w:vAlign w:val="center"/>
          </w:tcPr>
          <w:p>
            <w:pPr>
              <w:pStyle w:val="TableContents"/>
              <w:bidi w:val="0"/>
              <w:spacing w:before="0" w:after="283"/>
              <w:jc w:val="left"/>
              <w:rPr>
                <w:b/>
                <w:sz w:val="16"/>
              </w:rPr>
            </w:pPr>
            <w:r>
              <w:rPr>
                <w:b/>
                <w:sz w:val="16"/>
              </w:rPr>
              <w:t>Controlled Investments</w:t>
            </w:r>
          </w:p>
        </w:tc>
        <w:tc>
          <w:tcPr>
            <w:tcW w:w="90" w:type="dxa"/>
            <w:tcBorders/>
            <w:tcMar>
              <w:bottom w:w="0" w:type="dxa"/>
            </w:tcMar>
            <w:vAlign w:val="center"/>
          </w:tcPr>
          <w:p>
            <w:pPr>
              <w:pStyle w:val="TableContents"/>
              <w:bidi w:val="0"/>
              <w:spacing w:before="0" w:after="283"/>
              <w:jc w:val="left"/>
              <w:rPr/>
            </w:pPr>
            <w:r>
              <w:rPr/>
              <w:t> </w:t>
            </w:r>
          </w:p>
        </w:tc>
        <w:tc>
          <w:tcPr>
            <w:tcW w:w="108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7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5"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sz w:val="16"/>
              </w:rPr>
            </w:pPr>
            <w:r>
              <w:rPr>
                <w:sz w:val="16"/>
              </w:rPr>
              <w:t>ECC Capital Corp.</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sz w:val="16"/>
              </w:rPr>
            </w:pPr>
            <w:r>
              <w:rPr>
                <w:sz w:val="16"/>
              </w:rPr>
              <w:t>Senior Secured First Lien Term Loan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sz w:val="16"/>
              </w:rPr>
            </w:pPr>
            <w:r>
              <w:rPr>
                <w:sz w:val="16"/>
              </w:rPr>
              <w:t>$</w:t>
            </w:r>
          </w:p>
        </w:tc>
        <w:tc>
          <w:tcPr>
            <w:tcW w:w="934" w:type="dxa"/>
            <w:tcBorders/>
            <w:shd w:fill="CCEEFF" w:val="clear"/>
            <w:tcMar>
              <w:bottom w:w="0" w:type="dxa"/>
            </w:tcMar>
            <w:vAlign w:val="center"/>
          </w:tcPr>
          <w:p>
            <w:pPr>
              <w:pStyle w:val="TableContents"/>
              <w:bidi w:val="0"/>
              <w:spacing w:before="0" w:after="283"/>
              <w:jc w:val="right"/>
              <w:rPr>
                <w:sz w:val="16"/>
              </w:rPr>
            </w:pPr>
            <w:r>
              <w:rPr>
                <w:sz w:val="16"/>
              </w:rPr>
              <w:t>7,422,012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sz w:val="16"/>
              </w:rPr>
            </w:pPr>
            <w:r>
              <w:rPr>
                <w:sz w:val="16"/>
              </w:rPr>
              <w:t>$</w:t>
            </w:r>
          </w:p>
        </w:tc>
        <w:tc>
          <w:tcPr>
            <w:tcW w:w="89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83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950" w:type="dxa"/>
            <w:tcBorders/>
            <w:shd w:fill="CCEEFF" w:val="clear"/>
            <w:tcMar>
              <w:bottom w:w="0" w:type="dxa"/>
            </w:tcMar>
            <w:vAlign w:val="center"/>
          </w:tcPr>
          <w:p>
            <w:pPr>
              <w:pStyle w:val="TableContents"/>
              <w:bidi w:val="0"/>
              <w:spacing w:before="0" w:after="283"/>
              <w:jc w:val="right"/>
              <w:rPr>
                <w:sz w:val="16"/>
              </w:rPr>
            </w:pPr>
            <w:r>
              <w:rPr>
                <w:sz w:val="16"/>
              </w:rPr>
              <w:t>7,422,012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770" w:type="dxa"/>
            <w:tcBorders/>
            <w:shd w:fill="CCEEFF" w:val="clear"/>
            <w:tcMar>
              <w:bottom w:w="0" w:type="dxa"/>
            </w:tcMar>
            <w:vAlign w:val="center"/>
          </w:tcPr>
          <w:p>
            <w:pPr>
              <w:pStyle w:val="TableContents"/>
              <w:bidi w:val="0"/>
              <w:spacing w:before="0" w:after="283"/>
              <w:jc w:val="right"/>
              <w:rPr>
                <w:sz w:val="16"/>
              </w:rPr>
            </w:pPr>
            <w:r>
              <w:rPr>
                <w:sz w:val="16"/>
              </w:rPr>
              <w:t>391,510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sz w:val="16"/>
              </w:rPr>
            </w:pPr>
            <w:r>
              <w:rPr>
                <w:sz w:val="16"/>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sz w:val="16"/>
              </w:rPr>
            </w:pPr>
            <w:r>
              <w:rPr>
                <w:sz w:val="16"/>
              </w:rPr>
              <w:t>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sz w:val="16"/>
              </w:rPr>
            </w:pPr>
            <w:r>
              <w:rPr>
                <w:sz w:val="16"/>
              </w:rPr>
              <w:t>4,872,000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sz w:val="16"/>
              </w:rPr>
            </w:pPr>
            <w:r>
              <w:rPr>
                <w:sz w:val="16"/>
              </w:rPr>
              <w:t>159,600</w:t>
            </w:r>
          </w:p>
        </w:tc>
        <w:tc>
          <w:tcPr>
            <w:tcW w:w="11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6"/>
              </w:rPr>
            </w:pPr>
            <w:r>
              <w:rPr>
                <w:sz w:val="16"/>
              </w:rPr>
              <w:t>5,031,600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sz w:val="16"/>
              </w:rPr>
            </w:pPr>
            <w:r>
              <w:rPr>
                <w:sz w:val="16"/>
              </w:rPr>
              <w:t>FlexFIN, LLC</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sz w:val="16"/>
              </w:rPr>
            </w:pPr>
            <w:r>
              <w:rPr>
                <w:sz w:val="16"/>
              </w:rPr>
              <w:t>Equity Interest</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right"/>
              <w:rPr>
                <w:sz w:val="16"/>
              </w:rPr>
            </w:pPr>
            <w:r>
              <w:rPr>
                <w:sz w:val="16"/>
              </w:rPr>
              <w:t>36,683,045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sz w:val="16"/>
              </w:rPr>
            </w:pPr>
            <w:r>
              <w:rPr>
                <w:sz w:val="16"/>
              </w:rPr>
              <w:t>92,290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sz w:val="16"/>
              </w:rPr>
            </w:pPr>
            <w:r>
              <w:rPr>
                <w:sz w:val="16"/>
              </w:rPr>
              <w:t>36,775,335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sz w:val="16"/>
              </w:rPr>
            </w:pPr>
            <w:r>
              <w:rPr>
                <w:sz w:val="16"/>
              </w:rPr>
              <w:t>2,979,966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sz w:val="16"/>
              </w:rPr>
            </w:pPr>
            <w:r>
              <w:rPr>
                <w:sz w:val="16"/>
              </w:rPr>
              <w:t>NSG Captive, Inc.</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jc w:val="left"/>
              <w:rPr>
                <w:sz w:val="16"/>
              </w:rPr>
            </w:pPr>
            <w:r>
              <w:rPr>
                <w:sz w:val="16"/>
              </w:rPr>
              <w:t>Equity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right"/>
              <w:rPr>
                <w:sz w:val="16"/>
              </w:rPr>
            </w:pPr>
            <w:r>
              <w:rPr>
                <w:sz w:val="16"/>
              </w:rPr>
              <w:t>101,000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895" w:type="dxa"/>
            <w:tcBorders/>
            <w:shd w:fill="CCEEFF" w:val="clear"/>
            <w:tcMar>
              <w:bottom w:w="0" w:type="dxa"/>
            </w:tcMar>
            <w:vAlign w:val="center"/>
          </w:tcPr>
          <w:p>
            <w:pPr>
              <w:pStyle w:val="TableContents"/>
              <w:bidi w:val="0"/>
              <w:spacing w:before="0" w:after="283"/>
              <w:jc w:val="right"/>
              <w:rPr>
                <w:sz w:val="16"/>
              </w:rPr>
            </w:pPr>
            <w:r>
              <w:rPr>
                <w:sz w:val="16"/>
              </w:rPr>
              <w:t>49,145,255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sz w:val="16"/>
              </w:rPr>
            </w:pPr>
            <w:r>
              <w:rPr>
                <w:sz w:val="16"/>
              </w:rPr>
              <w:t>(849,113</w:t>
            </w:r>
          </w:p>
        </w:tc>
        <w:tc>
          <w:tcPr>
            <w:tcW w:w="110" w:type="dxa"/>
            <w:tcBorders/>
            <w:shd w:fill="CCEEFF" w:val="clear"/>
            <w:tcMar>
              <w:bottom w:w="0" w:type="dxa"/>
            </w:tcMar>
            <w:vAlign w:val="center"/>
          </w:tcPr>
          <w:p>
            <w:pPr>
              <w:pStyle w:val="TableContents"/>
              <w:bidi w:val="0"/>
              <w:spacing w:before="0" w:after="283"/>
              <w:jc w:val="left"/>
              <w:rPr>
                <w:sz w:val="16"/>
              </w:rPr>
            </w:pPr>
            <w:r>
              <w:rPr>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right"/>
              <w:rPr>
                <w:sz w:val="16"/>
              </w:rPr>
            </w:pPr>
            <w:r>
              <w:rPr>
                <w:sz w:val="16"/>
              </w:rPr>
              <w:t>48,397,142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sz w:val="16"/>
              </w:rPr>
            </w:pPr>
            <w:r>
              <w:rPr>
                <w:sz w:val="16"/>
              </w:rPr>
              <w:t>NVTN LLC</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sz w:val="16"/>
              </w:rPr>
            </w:pPr>
            <w:r>
              <w:rPr>
                <w:sz w:val="16"/>
              </w:rPr>
              <w:t>Senior Secured First Lien Delayed Draw Term Loan</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right"/>
              <w:rPr>
                <w:sz w:val="16"/>
              </w:rPr>
            </w:pPr>
            <w:r>
              <w:rPr>
                <w:sz w:val="16"/>
              </w:rPr>
              <w:t>5,500,000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895" w:type="dxa"/>
            <w:tcBorders/>
            <w:tcMar>
              <w:bottom w:w="0" w:type="dxa"/>
            </w:tcMar>
            <w:vAlign w:val="center"/>
          </w:tcPr>
          <w:p>
            <w:pPr>
              <w:pStyle w:val="TableContents"/>
              <w:bidi w:val="0"/>
              <w:spacing w:before="0" w:after="283"/>
              <w:jc w:val="right"/>
              <w:rPr>
                <w:sz w:val="16"/>
              </w:rPr>
            </w:pPr>
            <w:r>
              <w:rPr>
                <w:sz w:val="16"/>
              </w:rPr>
              <w:t>4,300,000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right"/>
              <w:rPr>
                <w:sz w:val="16"/>
              </w:rPr>
            </w:pPr>
            <w:r>
              <w:rPr>
                <w:sz w:val="16"/>
              </w:rPr>
              <w:t>9,800,000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right"/>
              <w:rPr>
                <w:sz w:val="16"/>
              </w:rPr>
            </w:pPr>
            <w:r>
              <w:rPr>
                <w:sz w:val="16"/>
              </w:rPr>
              <w:t>294,649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785"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845" w:type="dxa"/>
            <w:tcBorders/>
            <w:tcMar>
              <w:bottom w:w="0" w:type="dxa"/>
            </w:tcMar>
            <w:vAlign w:val="center"/>
          </w:tcPr>
          <w:p>
            <w:pPr>
              <w:pStyle w:val="TableContents"/>
              <w:bidi w:val="0"/>
              <w:spacing w:before="0" w:after="283"/>
              <w:jc w:val="left"/>
              <w:rPr>
                <w:sz w:val="16"/>
              </w:rPr>
            </w:pPr>
            <w:r>
              <w:rPr>
                <w:sz w:val="16"/>
              </w:rPr>
              <w:t>Senior Secured First Lien Term Loan B</w:t>
            </w:r>
          </w:p>
        </w:tc>
        <w:tc>
          <w:tcPr>
            <w:tcW w:w="90" w:type="dxa"/>
            <w:tcBorders/>
            <w:tcMar>
              <w:bottom w:w="0" w:type="dxa"/>
            </w:tcMar>
            <w:vAlign w:val="center"/>
          </w:tcPr>
          <w:p>
            <w:pPr>
              <w:pStyle w:val="TableContents"/>
              <w:bidi w:val="0"/>
              <w:spacing w:before="0" w:after="283"/>
              <w:jc w:val="left"/>
              <w:rPr/>
            </w:pPr>
            <w:r>
              <w:rPr/>
              <w:t> </w:t>
            </w:r>
          </w:p>
        </w:tc>
        <w:tc>
          <w:tcPr>
            <w:tcW w:w="151" w:type="dxa"/>
            <w:tcBorders>
              <w:bottom w:val="single" w:sz="12" w:space="0" w:color="000000"/>
            </w:tcBorders>
            <w:vAlign w:val="center"/>
          </w:tcPr>
          <w:p>
            <w:pPr>
              <w:pStyle w:val="TableContents"/>
              <w:bidi w:val="0"/>
              <w:spacing w:before="0" w:after="283"/>
              <w:jc w:val="left"/>
              <w:rPr/>
            </w:pPr>
            <w:r>
              <w:rPr/>
              <w:t> </w:t>
            </w:r>
          </w:p>
        </w:tc>
        <w:tc>
          <w:tcPr>
            <w:tcW w:w="934" w:type="dxa"/>
            <w:tcBorders>
              <w:bottom w:val="single" w:sz="12" w:space="0" w:color="000000"/>
            </w:tcBorders>
            <w:vAlign w:val="center"/>
          </w:tcPr>
          <w:p>
            <w:pPr>
              <w:pStyle w:val="TableContents"/>
              <w:bidi w:val="0"/>
              <w:spacing w:before="0" w:after="283"/>
              <w:jc w:val="right"/>
              <w:rPr>
                <w:sz w:val="16"/>
              </w:rPr>
            </w:pPr>
            <w:r>
              <w:rPr>
                <w:sz w:val="16"/>
              </w:rPr>
              <w:t>16,353,590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895"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830" w:type="dxa"/>
            <w:tcBorders>
              <w:bottom w:val="single" w:sz="12" w:space="0" w:color="000000"/>
            </w:tcBorders>
            <w:vAlign w:val="center"/>
          </w:tcPr>
          <w:p>
            <w:pPr>
              <w:pStyle w:val="TableContents"/>
              <w:bidi w:val="0"/>
              <w:spacing w:before="0" w:after="283"/>
              <w:jc w:val="right"/>
              <w:rPr>
                <w:sz w:val="16"/>
              </w:rPr>
            </w:pPr>
            <w:r>
              <w:rPr>
                <w:sz w:val="16"/>
              </w:rPr>
              <w:t>(1,118,089</w:t>
            </w:r>
          </w:p>
        </w:tc>
        <w:tc>
          <w:tcPr>
            <w:tcW w:w="110" w:type="dxa"/>
            <w:tcBorders/>
            <w:tcMar>
              <w:bottom w:w="0" w:type="dxa"/>
            </w:tcMar>
            <w:vAlign w:val="center"/>
          </w:tcPr>
          <w:p>
            <w:pPr>
              <w:pStyle w:val="TableContents"/>
              <w:bidi w:val="0"/>
              <w:spacing w:before="0" w:after="283"/>
              <w:jc w:val="left"/>
              <w:rPr>
                <w:sz w:val="16"/>
              </w:rPr>
            </w:pPr>
            <w:r>
              <w:rPr>
                <w:sz w:val="16"/>
              </w:rPr>
              <w:t>)</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283"/>
              <w:jc w:val="right"/>
              <w:rPr>
                <w:sz w:val="16"/>
              </w:rPr>
            </w:pPr>
            <w:r>
              <w:rPr>
                <w:sz w:val="16"/>
              </w:rPr>
              <w:t>15,235,501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283"/>
              <w:jc w:val="right"/>
              <w:rPr>
                <w:sz w:val="16"/>
              </w:rPr>
            </w:pPr>
            <w:r>
              <w:rPr>
                <w:sz w:val="16"/>
              </w:rPr>
              <w:t>528,826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785" w:type="dxa"/>
            <w:tcBorders>
              <w:bottom w:val="single" w:sz="12" w:space="0" w:color="000000"/>
            </w:tcBorders>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b/>
                <w:sz w:val="16"/>
              </w:rPr>
            </w:pPr>
            <w:r>
              <w:rPr>
                <w:b/>
                <w:sz w:val="16"/>
              </w:rPr>
              <w:t>Total Controlled Investments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934" w:type="dxa"/>
            <w:tcBorders>
              <w:bottom w:val="double" w:sz="10" w:space="0" w:color="000000"/>
            </w:tcBorders>
            <w:shd w:fill="CCEEFF" w:val="clear"/>
            <w:vAlign w:val="center"/>
          </w:tcPr>
          <w:p>
            <w:pPr>
              <w:pStyle w:val="TableContents"/>
              <w:bidi w:val="0"/>
              <w:spacing w:before="0" w:after="283"/>
              <w:jc w:val="right"/>
              <w:rPr>
                <w:sz w:val="16"/>
              </w:rPr>
            </w:pPr>
            <w:r>
              <w:rPr>
                <w:sz w:val="16"/>
              </w:rPr>
              <w:t>70,931,647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895" w:type="dxa"/>
            <w:tcBorders>
              <w:bottom w:val="double" w:sz="10" w:space="0" w:color="000000"/>
            </w:tcBorders>
            <w:shd w:fill="CCEEFF" w:val="clear"/>
            <w:vAlign w:val="center"/>
          </w:tcPr>
          <w:p>
            <w:pPr>
              <w:pStyle w:val="TableContents"/>
              <w:bidi w:val="0"/>
              <w:spacing w:before="0" w:after="283"/>
              <w:jc w:val="right"/>
              <w:rPr>
                <w:sz w:val="16"/>
              </w:rPr>
            </w:pPr>
            <w:r>
              <w:rPr>
                <w:sz w:val="16"/>
              </w:rPr>
              <w:t>53,537,545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785" w:type="dxa"/>
            <w:tcBorders>
              <w:bottom w:val="double" w:sz="10" w:space="0" w:color="000000"/>
            </w:tcBorders>
            <w:shd w:fill="CCEEFF" w:val="cle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830" w:type="dxa"/>
            <w:tcBorders>
              <w:bottom w:val="double" w:sz="10" w:space="0" w:color="000000"/>
            </w:tcBorders>
            <w:shd w:fill="CCEEFF" w:val="clear"/>
            <w:vAlign w:val="center"/>
          </w:tcPr>
          <w:p>
            <w:pPr>
              <w:pStyle w:val="TableContents"/>
              <w:bidi w:val="0"/>
              <w:spacing w:before="0" w:after="283"/>
              <w:jc w:val="right"/>
              <w:rPr>
                <w:sz w:val="16"/>
              </w:rPr>
            </w:pPr>
            <w:r>
              <w:rPr>
                <w:sz w:val="16"/>
              </w:rPr>
              <w:t>(1,807,602</w:t>
            </w:r>
          </w:p>
        </w:tc>
        <w:tc>
          <w:tcPr>
            <w:tcW w:w="110" w:type="dxa"/>
            <w:tcBorders/>
            <w:shd w:fill="CCEEFF" w:val="clear"/>
            <w:tcMar>
              <w:bottom w:w="0" w:type="dxa"/>
            </w:tcMar>
            <w:vAlign w:val="center"/>
          </w:tcPr>
          <w:p>
            <w:pPr>
              <w:pStyle w:val="TableContents"/>
              <w:bidi w:val="0"/>
              <w:spacing w:before="0" w:after="283"/>
              <w:jc w:val="left"/>
              <w:rPr>
                <w:sz w:val="16"/>
              </w:rPr>
            </w:pPr>
            <w:r>
              <w:rPr>
                <w:sz w:val="16"/>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785" w:type="dxa"/>
            <w:tcBorders>
              <w:bottom w:val="double" w:sz="10" w:space="0" w:color="000000"/>
            </w:tcBorders>
            <w:shd w:fill="CCEEFF" w:val="cle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950" w:type="dxa"/>
            <w:tcBorders>
              <w:bottom w:val="double" w:sz="10" w:space="0" w:color="000000"/>
            </w:tcBorders>
            <w:shd w:fill="CCEEFF" w:val="clear"/>
            <w:vAlign w:val="center"/>
          </w:tcPr>
          <w:p>
            <w:pPr>
              <w:pStyle w:val="TableContents"/>
              <w:bidi w:val="0"/>
              <w:spacing w:before="0" w:after="283"/>
              <w:jc w:val="right"/>
              <w:rPr>
                <w:sz w:val="16"/>
              </w:rPr>
            </w:pPr>
            <w:r>
              <w:rPr>
                <w:sz w:val="16"/>
              </w:rPr>
              <w:t>122,661,590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770" w:type="dxa"/>
            <w:tcBorders>
              <w:bottom w:val="double" w:sz="10" w:space="0" w:color="000000"/>
            </w:tcBorders>
            <w:shd w:fill="CCEEFF" w:val="clear"/>
            <w:vAlign w:val="center"/>
          </w:tcPr>
          <w:p>
            <w:pPr>
              <w:pStyle w:val="TableContents"/>
              <w:bidi w:val="0"/>
              <w:spacing w:before="0" w:after="283"/>
              <w:jc w:val="right"/>
              <w:rPr>
                <w:sz w:val="16"/>
              </w:rPr>
            </w:pPr>
            <w:r>
              <w:rPr>
                <w:sz w:val="16"/>
              </w:rPr>
              <w:t>4,194,951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sz w:val="16"/>
              </w:rPr>
            </w:pPr>
            <w:r>
              <w:rPr>
                <w:sz w:val="16"/>
              </w:rPr>
              <w:t>$</w:t>
            </w:r>
          </w:p>
        </w:tc>
        <w:tc>
          <w:tcPr>
            <w:tcW w:w="785" w:type="dxa"/>
            <w:tcBorders>
              <w:bottom w:val="double" w:sz="10" w:space="0" w:color="000000"/>
            </w:tcBorders>
            <w:shd w:fill="CCEEFF" w:val="clear"/>
            <w:vAlign w:val="center"/>
          </w:tcPr>
          <w:p>
            <w:pPr>
              <w:pStyle w:val="TableContents"/>
              <w:bidi w:val="0"/>
              <w:spacing w:before="0" w:after="283"/>
              <w:jc w:val="right"/>
              <w:rPr/>
            </w:pPr>
            <w:r>
              <w:rPr/>
              <w:t>           </w:t>
            </w: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68"/>
        <w:gridCol w:w="275"/>
        <w:gridCol w:w="776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 amount and additional detail are shown in the Consolidated Schedules of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3"/>
        <w:gridCol w:w="9874"/>
      </w:tblGrid>
      <w:tr>
        <w:trPr/>
        <w:tc>
          <w:tcPr>
            <w:tcW w:w="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Securities with a zero value at the beginning and end of the period, and those that had no transaction activity were excluded from the roll forward.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Purchases/(sales) of or advances to/(distributions) from Affiliated Investments and Controlled Investments represent the proceeds from sales and settlements of investments, purchases, originations and participations, investment increases due to PIK interest as well as net amortization of premium/(discount) on investments and are included in the purchases and sales presented on the Consolidated Statements of Cash Flows for the six months ended March 31, 2026 and 2025. Transfers in/(out) of Affiliated Investments and Controlled Investments represent the fair value for the quarter an investment became or was removed as an Affiliated Investment or a Controlled Investment. Income received from Affiliated Investments and Controlled Investments is included in total investment income on the Consolidated Statements of Operations for the three and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Unconsolidated Significant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determine which, if any, of our unconsolidated controlled portfolio companies is a “significant subsidiary” within the meaning of Regulation S-X. We have evaluated and determined that, as of March 31, 2026, two portfolio companies, FlexFIN LLC and NVTN LLC, triggered at least one of the significance tests, and as of March 31, 2025, one portfolio company, FlexFIN LLC, triggered at least one of the significance tests. Below is certain selected key financial data from FlexFIN LLC’s and NVTN LLC’s income statements for the periods in which our investment exceeded the threshold for at least one of the tests (dollars in thousands):</w:t>
      </w:r>
    </w:p>
    <w:p>
      <w:pPr>
        <w:pStyle w:val="TextBody"/>
        <w:bidi w:val="0"/>
        <w:spacing w:before="0" w:after="0"/>
        <w:ind w:left="0" w:right="0" w:hanging="0"/>
        <w:jc w:val="left"/>
        <w:rPr>
          <w:caps w:val="false"/>
          <w:smallCaps w:val="false"/>
        </w:rPr>
      </w:pPr>
      <w:r>
        <w:rPr>
          <w:caps w:val="false"/>
          <w:smallCaps w:val="false"/>
        </w:rPr>
        <w:t> </w:t>
      </w:r>
    </w:p>
    <w:tbl>
      <w:tblPr>
        <w:tblW w:w="8036" w:type="dxa"/>
        <w:jc w:val="left"/>
        <w:tblInd w:w="0" w:type="dxa"/>
        <w:tblLayout w:type="fixed"/>
        <w:tblCellMar>
          <w:top w:w="0" w:type="dxa"/>
          <w:left w:w="0" w:type="dxa"/>
          <w:bottom w:w="28" w:type="dxa"/>
          <w:right w:w="0" w:type="dxa"/>
        </w:tblCellMar>
      </w:tblPr>
      <w:tblGrid>
        <w:gridCol w:w="1895"/>
        <w:gridCol w:w="90"/>
        <w:gridCol w:w="212"/>
        <w:gridCol w:w="887"/>
        <w:gridCol w:w="90"/>
        <w:gridCol w:w="90"/>
        <w:gridCol w:w="232"/>
        <w:gridCol w:w="972"/>
        <w:gridCol w:w="125"/>
        <w:gridCol w:w="90"/>
        <w:gridCol w:w="245"/>
        <w:gridCol w:w="854"/>
        <w:gridCol w:w="90"/>
        <w:gridCol w:w="90"/>
        <w:gridCol w:w="432"/>
        <w:gridCol w:w="1507"/>
        <w:gridCol w:w="135"/>
      </w:tblGrid>
      <w:tr>
        <w:trPr/>
        <w:tc>
          <w:tcPr>
            <w:tcW w:w="1895" w:type="dxa"/>
            <w:tcBorders>
              <w:bottom w:val="single" w:sz="12" w:space="0" w:color="000000"/>
            </w:tcBorders>
            <w:vAlign w:val="center"/>
          </w:tcPr>
          <w:p>
            <w:pPr>
              <w:pStyle w:val="TableContents"/>
              <w:bidi w:val="0"/>
              <w:spacing w:before="0" w:after="283"/>
              <w:jc w:val="left"/>
              <w:rPr>
                <w:b/>
              </w:rPr>
            </w:pPr>
            <w:r>
              <w:rPr>
                <w:b/>
              </w:rPr>
              <w:t>Income Statement</w:t>
            </w:r>
          </w:p>
        </w:tc>
        <w:tc>
          <w:tcPr>
            <w:tcW w:w="9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12" w:space="0" w:color="000000"/>
            </w:tcBorders>
            <w:vAlign w:val="center"/>
          </w:tcPr>
          <w:p>
            <w:pPr>
              <w:pStyle w:val="TableContents"/>
              <w:bidi w:val="0"/>
              <w:spacing w:before="0" w:after="283"/>
              <w:jc w:val="center"/>
              <w:rPr>
                <w:b/>
              </w:rPr>
            </w:pPr>
            <w:r>
              <w:rPr>
                <w:b/>
              </w:rPr>
              <w:t>For the</w:t>
              <w:br/>
              <w:t>Three</w:t>
              <w:br/>
              <w:t>Months</w:t>
              <w:br/>
              <w:t>Ended</w:t>
              <w:br/>
              <w:t>March 31,</w:t>
              <w:br/>
              <w:t>2026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gridSpan w:val="2"/>
            <w:tcBorders>
              <w:bottom w:val="single" w:sz="12" w:space="0" w:color="000000"/>
            </w:tcBorders>
            <w:vAlign w:val="center"/>
          </w:tcPr>
          <w:p>
            <w:pPr>
              <w:pStyle w:val="TableContents"/>
              <w:bidi w:val="0"/>
              <w:spacing w:before="0" w:after="283"/>
              <w:jc w:val="center"/>
              <w:rPr>
                <w:b/>
              </w:rPr>
            </w:pPr>
            <w:r>
              <w:rPr>
                <w:b/>
              </w:rPr>
              <w:t xml:space="preserve">For the </w:t>
              <w:br/>
              <w:t>Six Months</w:t>
              <w:br/>
              <w:t xml:space="preserve">Ended </w:t>
              <w:br/>
              <w:t>March 31,</w:t>
              <w:br/>
              <w:t>2026</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12" w:space="0" w:color="000000"/>
            </w:tcBorders>
            <w:vAlign w:val="center"/>
          </w:tcPr>
          <w:p>
            <w:pPr>
              <w:pStyle w:val="TableContents"/>
              <w:bidi w:val="0"/>
              <w:spacing w:before="0" w:after="283"/>
              <w:jc w:val="center"/>
              <w:rPr>
                <w:b/>
              </w:rPr>
            </w:pPr>
            <w:r>
              <w:rPr>
                <w:b/>
              </w:rPr>
              <w:t>For the</w:t>
              <w:br/>
              <w:t>Three</w:t>
              <w:br/>
              <w:t>Months</w:t>
              <w:br/>
              <w:t>Ended</w:t>
              <w:br/>
              <w:t>March 31,</w:t>
              <w:b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12" w:space="0" w:color="000000"/>
            </w:tcBorders>
            <w:vAlign w:val="center"/>
          </w:tcPr>
          <w:p>
            <w:pPr>
              <w:pStyle w:val="TableContents"/>
              <w:bidi w:val="0"/>
              <w:spacing w:before="0" w:after="283"/>
              <w:jc w:val="center"/>
              <w:rPr>
                <w:b/>
              </w:rPr>
            </w:pPr>
            <w:r>
              <w:rPr>
                <w:b/>
              </w:rPr>
              <w:t xml:space="preserve">For the </w:t>
              <w:br/>
              <w:t>Six Months Ended</w:t>
              <w:br/>
              <w:t xml:space="preserve">March 31, </w:t>
              <w:br/>
              <w:t>2025</w:t>
            </w:r>
          </w:p>
        </w:tc>
        <w:tc>
          <w:tcPr>
            <w:tcW w:w="135"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Total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887" w:type="dxa"/>
            <w:tcBorders/>
            <w:shd w:fill="CCEEFF" w:val="clear"/>
            <w:tcMar>
              <w:bottom w:w="0" w:type="dxa"/>
            </w:tcMar>
            <w:vAlign w:val="center"/>
          </w:tcPr>
          <w:p>
            <w:pPr>
              <w:pStyle w:val="TableContents"/>
              <w:bidi w:val="0"/>
              <w:spacing w:before="0" w:after="283"/>
              <w:jc w:val="right"/>
              <w:rPr/>
            </w:pPr>
            <w:r>
              <w:rPr/>
              <w:t>10,285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972" w:type="dxa"/>
            <w:tcBorders/>
            <w:shd w:fill="CCEEFF" w:val="clear"/>
            <w:tcMar>
              <w:bottom w:w="0" w:type="dxa"/>
            </w:tcMar>
            <w:vAlign w:val="center"/>
          </w:tcPr>
          <w:p>
            <w:pPr>
              <w:pStyle w:val="TableContents"/>
              <w:bidi w:val="0"/>
              <w:spacing w:before="0" w:after="283"/>
              <w:jc w:val="right"/>
              <w:rPr/>
            </w:pPr>
            <w:r>
              <w:rPr/>
              <w:t>19,643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w:t>
            </w:r>
          </w:p>
        </w:tc>
        <w:tc>
          <w:tcPr>
            <w:tcW w:w="854" w:type="dxa"/>
            <w:tcBorders/>
            <w:shd w:fill="CCEEFF" w:val="clear"/>
            <w:tcMar>
              <w:bottom w:w="0" w:type="dxa"/>
            </w:tcMar>
            <w:vAlign w:val="center"/>
          </w:tcPr>
          <w:p>
            <w:pPr>
              <w:pStyle w:val="TableContents"/>
              <w:bidi w:val="0"/>
              <w:spacing w:before="0" w:after="283"/>
              <w:jc w:val="right"/>
              <w:rPr/>
            </w:pPr>
            <w:r>
              <w:rPr/>
              <w:t>1,997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1507" w:type="dxa"/>
            <w:tcBorders/>
            <w:shd w:fill="CCEEFF" w:val="clear"/>
            <w:tcMar>
              <w:bottom w:w="0" w:type="dxa"/>
            </w:tcMar>
            <w:vAlign w:val="center"/>
          </w:tcPr>
          <w:p>
            <w:pPr>
              <w:pStyle w:val="TableContents"/>
              <w:bidi w:val="0"/>
              <w:spacing w:before="0" w:after="283"/>
              <w:jc w:val="right"/>
              <w:rPr/>
            </w:pPr>
            <w:r>
              <w:rPr/>
              <w:t>3,592</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Total Expenses</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887" w:type="dxa"/>
            <w:tcBorders/>
            <w:tcMar>
              <w:bottom w:w="0" w:type="dxa"/>
            </w:tcMar>
            <w:vAlign w:val="center"/>
          </w:tcPr>
          <w:p>
            <w:pPr>
              <w:pStyle w:val="TableContents"/>
              <w:bidi w:val="0"/>
              <w:spacing w:before="0" w:after="283"/>
              <w:jc w:val="right"/>
              <w:rPr/>
            </w:pPr>
            <w:r>
              <w:rPr/>
              <w:t>10,170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2" w:type="dxa"/>
            <w:tcBorders/>
            <w:tcMar>
              <w:bottom w:w="0" w:type="dxa"/>
            </w:tcMar>
            <w:vAlign w:val="center"/>
          </w:tcPr>
          <w:p>
            <w:pPr>
              <w:pStyle w:val="TableContents"/>
              <w:bidi w:val="0"/>
              <w:spacing w:before="0" w:after="283"/>
              <w:jc w:val="left"/>
              <w:rPr/>
            </w:pPr>
            <w:r>
              <w:rPr/>
              <w:t> </w:t>
            </w:r>
          </w:p>
        </w:tc>
        <w:tc>
          <w:tcPr>
            <w:tcW w:w="972" w:type="dxa"/>
            <w:tcBorders/>
            <w:tcMar>
              <w:bottom w:w="0" w:type="dxa"/>
            </w:tcMar>
            <w:vAlign w:val="center"/>
          </w:tcPr>
          <w:p>
            <w:pPr>
              <w:pStyle w:val="TableContents"/>
              <w:bidi w:val="0"/>
              <w:spacing w:before="0" w:after="283"/>
              <w:jc w:val="right"/>
              <w:rPr/>
            </w:pPr>
            <w:r>
              <w:rPr/>
              <w:t>19,680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854" w:type="dxa"/>
            <w:tcBorders/>
            <w:tcMar>
              <w:bottom w:w="0" w:type="dxa"/>
            </w:tcMar>
            <w:vAlign w:val="center"/>
          </w:tcPr>
          <w:p>
            <w:pPr>
              <w:pStyle w:val="TableContents"/>
              <w:bidi w:val="0"/>
              <w:spacing w:before="0" w:after="283"/>
              <w:jc w:val="right"/>
              <w:rPr/>
            </w:pPr>
            <w:r>
              <w:rPr/>
              <w:t>463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2" w:type="dxa"/>
            <w:tcBorders/>
            <w:tcMar>
              <w:bottom w:w="0" w:type="dxa"/>
            </w:tcMar>
            <w:vAlign w:val="center"/>
          </w:tcPr>
          <w:p>
            <w:pPr>
              <w:pStyle w:val="TableContents"/>
              <w:bidi w:val="0"/>
              <w:spacing w:before="0" w:after="283"/>
              <w:jc w:val="left"/>
              <w:rPr/>
            </w:pPr>
            <w:r>
              <w:rPr/>
              <w:t> </w:t>
            </w:r>
          </w:p>
        </w:tc>
        <w:tc>
          <w:tcPr>
            <w:tcW w:w="1507" w:type="dxa"/>
            <w:tcBorders/>
            <w:tcMar>
              <w:bottom w:w="0" w:type="dxa"/>
            </w:tcMar>
            <w:vAlign w:val="center"/>
          </w:tcPr>
          <w:p>
            <w:pPr>
              <w:pStyle w:val="TableContents"/>
              <w:bidi w:val="0"/>
              <w:spacing w:before="0" w:after="283"/>
              <w:jc w:val="right"/>
              <w:rPr/>
            </w:pPr>
            <w:r>
              <w:rPr/>
              <w:t>899</w:t>
            </w:r>
          </w:p>
        </w:tc>
        <w:tc>
          <w:tcPr>
            <w:tcW w:w="135" w:type="dxa"/>
            <w:tcBorders/>
            <w:tcMar>
              <w:bottom w:w="0" w:type="dxa"/>
            </w:tcMar>
            <w:vAlign w:val="center"/>
          </w:tcPr>
          <w:p>
            <w:pPr>
              <w:pStyle w:val="TableContents"/>
              <w:bidi w:val="0"/>
              <w:spacing w:before="0" w:after="283"/>
              <w:jc w:val="left"/>
              <w:rPr/>
            </w:pPr>
            <w:r>
              <w:rPr/>
              <w:t> </w:t>
            </w:r>
          </w:p>
        </w:tc>
      </w:tr>
      <w:tr>
        <w:trPr/>
        <w:tc>
          <w:tcPr>
            <w:tcW w:w="1895" w:type="dxa"/>
            <w:tcBorders/>
            <w:shd w:fill="CCEEFF" w:val="clear"/>
            <w:tcMar>
              <w:bottom w:w="0" w:type="dxa"/>
            </w:tcMar>
            <w:vAlign w:val="center"/>
          </w:tcPr>
          <w:p>
            <w:pPr>
              <w:pStyle w:val="TableContents"/>
              <w:bidi w:val="0"/>
              <w:spacing w:before="0" w:after="283"/>
              <w:jc w:val="left"/>
              <w:rPr/>
            </w:pPr>
            <w:r>
              <w:rPr/>
              <w:t>Net Income</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887" w:type="dxa"/>
            <w:tcBorders/>
            <w:shd w:fill="CCEEFF" w:val="clear"/>
            <w:tcMar>
              <w:bottom w:w="0" w:type="dxa"/>
            </w:tcMar>
            <w:vAlign w:val="center"/>
          </w:tcPr>
          <w:p>
            <w:pPr>
              <w:pStyle w:val="TableContents"/>
              <w:bidi w:val="0"/>
              <w:spacing w:before="0" w:after="283"/>
              <w:jc w:val="right"/>
              <w:rPr/>
            </w:pPr>
            <w:r>
              <w:rPr/>
              <w:t>115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w:t>
            </w:r>
          </w:p>
        </w:tc>
        <w:tc>
          <w:tcPr>
            <w:tcW w:w="972" w:type="dxa"/>
            <w:tcBorders/>
            <w:shd w:fill="CCEEFF" w:val="clear"/>
            <w:tcMar>
              <w:bottom w:w="0" w:type="dxa"/>
            </w:tcMar>
            <w:vAlign w:val="center"/>
          </w:tcPr>
          <w:p>
            <w:pPr>
              <w:pStyle w:val="TableContents"/>
              <w:bidi w:val="0"/>
              <w:spacing w:before="0" w:after="283"/>
              <w:jc w:val="right"/>
              <w:rPr/>
            </w:pPr>
            <w:r>
              <w:rPr/>
              <w:t>(37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w:t>
            </w:r>
          </w:p>
        </w:tc>
        <w:tc>
          <w:tcPr>
            <w:tcW w:w="854" w:type="dxa"/>
            <w:tcBorders/>
            <w:shd w:fill="CCEEFF" w:val="clear"/>
            <w:tcMar>
              <w:bottom w:w="0" w:type="dxa"/>
            </w:tcMar>
            <w:vAlign w:val="center"/>
          </w:tcPr>
          <w:p>
            <w:pPr>
              <w:pStyle w:val="TableContents"/>
              <w:bidi w:val="0"/>
              <w:spacing w:before="0" w:after="283"/>
              <w:jc w:val="right"/>
              <w:rPr/>
            </w:pPr>
            <w:r>
              <w:rPr/>
              <w:t>1,534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32" w:type="dxa"/>
            <w:tcBorders/>
            <w:shd w:fill="CCEEFF" w:val="clear"/>
            <w:tcMar>
              <w:bottom w:w="0" w:type="dxa"/>
            </w:tcMar>
            <w:vAlign w:val="center"/>
          </w:tcPr>
          <w:p>
            <w:pPr>
              <w:pStyle w:val="TableContents"/>
              <w:bidi w:val="0"/>
              <w:spacing w:before="0" w:after="283"/>
              <w:jc w:val="left"/>
              <w:rPr/>
            </w:pPr>
            <w:r>
              <w:rPr/>
              <w:t>$</w:t>
            </w:r>
          </w:p>
        </w:tc>
        <w:tc>
          <w:tcPr>
            <w:tcW w:w="1507" w:type="dxa"/>
            <w:tcBorders/>
            <w:shd w:fill="CCEEFF" w:val="clear"/>
            <w:tcMar>
              <w:bottom w:w="0" w:type="dxa"/>
            </w:tcMar>
            <w:vAlign w:val="center"/>
          </w:tcPr>
          <w:p>
            <w:pPr>
              <w:pStyle w:val="TableContents"/>
              <w:bidi w:val="0"/>
              <w:spacing w:before="0" w:after="283"/>
              <w:jc w:val="right"/>
              <w:rPr/>
            </w:pPr>
            <w:r>
              <w:rPr/>
              <w:t>2,693</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820 for measuring the fair value of portfolio investments. Fair value is the price that would be received in the sale of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valuation models are applied. These valuation models involve some level of management estimation and judgment, the degree of which is dependent on the price transparency for the instruments or market and the instruments’ complexity.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fair value analysis includes an analysis of the value of any unfunded loan commitments. Financial investments recorded at fair value in the consolidated financial statements are categorized for disclosure purposes based upon the level of judgment associated with the inputs used to measure their value. The valuation hierarchical levels are based upon the transparency of the inputs to the valuation of the investment as of the measurement date. Investments which are valued using NAV as a practical expedient are excluded from this hierarchy, and certain prior period amounts have been reclassified to conform to the current period presentation. The three levels are defined below: </w:t>
      </w:r>
    </w:p>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05"/>
        <w:gridCol w:w="200"/>
        <w:gridCol w:w="96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Valuations based on quoted prices in active markets for identical assets or liabilities at the measurement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Valuations based on quoted prices in markets that are not active or for which all significant inputs are observable, either directly or indirectly.</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05"/>
        <w:gridCol w:w="200"/>
        <w:gridCol w:w="9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Valuations based on inputs that are unobservable and significant to the overall 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the above inputs in investment valuations, the Company continues to employ a valuation policy approved by the board of directors that is consistent with ASC 820 (see Note 2). Consistent with our valuation policy, we evaluate the source of inputs, including any markets in which our investments are trading, in determining fair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measurements of our investments, by major class according to the fair value hierarchy, as of March 31, 2026 (dollars in thousands): </w:t>
      </w:r>
    </w:p>
    <w:p>
      <w:pPr>
        <w:pStyle w:val="TextBody"/>
        <w:bidi w:val="0"/>
        <w:spacing w:before="0" w:after="0"/>
        <w:ind w:left="0" w:right="0" w:hanging="0"/>
        <w:jc w:val="both"/>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695"/>
        <w:gridCol w:w="90"/>
        <w:gridCol w:w="174"/>
        <w:gridCol w:w="728"/>
        <w:gridCol w:w="92"/>
        <w:gridCol w:w="92"/>
        <w:gridCol w:w="174"/>
        <w:gridCol w:w="728"/>
        <w:gridCol w:w="92"/>
        <w:gridCol w:w="92"/>
        <w:gridCol w:w="174"/>
        <w:gridCol w:w="852"/>
        <w:gridCol w:w="92"/>
        <w:gridCol w:w="92"/>
        <w:gridCol w:w="174"/>
        <w:gridCol w:w="852"/>
        <w:gridCol w:w="135"/>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Hierarchy as of March 31, 2026</w:t>
            </w:r>
          </w:p>
        </w:tc>
        <w:tc>
          <w:tcPr>
            <w:tcW w:w="135" w:type="dxa"/>
            <w:tcBorders/>
            <w:vAlign w:val="center"/>
          </w:tcPr>
          <w:p>
            <w:pPr>
              <w:pStyle w:val="TableContents"/>
              <w:bidi w:val="0"/>
              <w:spacing w:before="0" w:after="283"/>
              <w:jc w:val="left"/>
              <w:rPr/>
            </w:pPr>
            <w:r>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b/>
              </w:rPr>
            </w:pPr>
            <w:r>
              <w:rPr>
                <w:b/>
              </w:rPr>
              <w:t>Investments:</w:t>
            </w:r>
          </w:p>
        </w:tc>
        <w:tc>
          <w:tcPr>
            <w:tcW w:w="90" w:type="dxa"/>
            <w:tcBorders/>
            <w:vAlign w:val="center"/>
          </w:tcPr>
          <w:p>
            <w:pPr>
              <w:pStyle w:val="TableContents"/>
              <w:bidi w:val="0"/>
              <w:spacing w:before="0" w:after="283"/>
              <w:jc w:val="left"/>
              <w:rPr/>
            </w:pPr>
            <w:r>
              <w:rPr/>
              <w:t> </w:t>
            </w:r>
          </w:p>
        </w:tc>
        <w:tc>
          <w:tcPr>
            <w:tcW w:w="9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8" w:type="dxa"/>
            <w:tcBorders/>
            <w:shd w:fill="CCEEFF" w:val="clear"/>
            <w:vAlign w:val="center"/>
          </w:tcPr>
          <w:p>
            <w:pPr>
              <w:pStyle w:val="TableContents"/>
              <w:bidi w:val="0"/>
              <w:spacing w:before="0" w:after="283"/>
              <w:jc w:val="right"/>
              <w:rPr/>
            </w:pPr>
            <w:r>
              <w:rPr/>
              <w:t>18,485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95,006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113,491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0"/>
              <w:jc w:val="right"/>
              <w:rPr/>
            </w:pPr>
            <w:r>
              <w:rPr/>
              <w: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6,402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6,997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13,399</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283"/>
              <w:jc w:val="right"/>
              <w:rPr/>
            </w:pPr>
            <w:r>
              <w:rPr/>
              <w:t>27,946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138,655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166,601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728" w:type="dxa"/>
            <w:tcBorders>
              <w:bottom w:val="double" w:sz="10" w:space="0" w:color="000000"/>
            </w:tcBorders>
            <w:tcMar>
              <w:bottom w:w="28" w:type="dxa"/>
            </w:tcMar>
            <w:vAlign w:val="center"/>
          </w:tcPr>
          <w:p>
            <w:pPr>
              <w:pStyle w:val="TableContents"/>
              <w:bidi w:val="0"/>
              <w:spacing w:before="0" w:after="283"/>
              <w:jc w:val="right"/>
              <w:rPr/>
            </w:pPr>
            <w:r>
              <w:rPr/>
              <w:t>27,946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728" w:type="dxa"/>
            <w:tcBorders>
              <w:bottom w:val="double" w:sz="10" w:space="0" w:color="000000"/>
            </w:tcBorders>
            <w:tcMar>
              <w:bottom w:w="28" w:type="dxa"/>
            </w:tcMar>
            <w:vAlign w:val="center"/>
          </w:tcPr>
          <w:p>
            <w:pPr>
              <w:pStyle w:val="TableContents"/>
              <w:bidi w:val="0"/>
              <w:spacing w:before="0" w:after="283"/>
              <w:jc w:val="right"/>
              <w:rPr/>
            </w:pPr>
            <w:r>
              <w:rPr/>
              <w:t>24,887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tcMar>
              <w:bottom w:w="28" w:type="dxa"/>
            </w:tcMar>
            <w:vAlign w:val="center"/>
          </w:tcPr>
          <w:p>
            <w:pPr>
              <w:pStyle w:val="TableContents"/>
              <w:bidi w:val="0"/>
              <w:spacing w:before="0" w:after="283"/>
              <w:jc w:val="right"/>
              <w:rPr/>
            </w:pPr>
            <w:r>
              <w:rPr/>
              <w:t>240,658</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tcMar>
              <w:bottom w:w="28" w:type="dxa"/>
            </w:tcMar>
            <w:vAlign w:val="center"/>
          </w:tcPr>
          <w:p>
            <w:pPr>
              <w:pStyle w:val="TableContents"/>
              <w:bidi w:val="0"/>
              <w:spacing w:before="0" w:after="283"/>
              <w:jc w:val="right"/>
              <w:rPr/>
            </w:pPr>
            <w:r>
              <w:rPr/>
              <w:t>293,491</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measured at net asset value</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8"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12" w:space="0" w:color="000000"/>
            </w:tcBorders>
            <w:shd w:fill="CCEEFF" w:val="clear"/>
            <w:tcMar>
              <w:bottom w:w="28" w:type="dxa"/>
            </w:tcMar>
            <w:vAlign w:val="center"/>
          </w:tcPr>
          <w:p>
            <w:pPr>
              <w:pStyle w:val="TableContents"/>
              <w:bidi w:val="0"/>
              <w:spacing w:before="0" w:after="283"/>
              <w:jc w:val="right"/>
              <w:rPr/>
            </w:pPr>
            <w:r>
              <w:rPr/>
              <w:t>2,320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Total Investments, at fair value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8"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852" w:type="dxa"/>
            <w:tcBorders>
              <w:bottom w:val="double" w:sz="10" w:space="0" w:color="000000"/>
            </w:tcBorders>
            <w:tcMar>
              <w:bottom w:w="28" w:type="dxa"/>
            </w:tcMar>
            <w:vAlign w:val="center"/>
          </w:tcPr>
          <w:p>
            <w:pPr>
              <w:pStyle w:val="TableContents"/>
              <w:bidi w:val="0"/>
              <w:spacing w:before="0" w:after="283"/>
              <w:jc w:val="right"/>
              <w:rPr/>
            </w:pPr>
            <w:r>
              <w:rPr/>
              <w:t>295,811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investments that are measured at fair value using NAV have not been categorized in the fair value hierarchy. The fair value amounts presented in the table are intended to permit reconciliation of the fair value hierarchy to the amount presented in the Consolidated Statements of Assets and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Fair Value Measurements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measurements of our investments, by major class according to the fair value hierarchy, as of September 30, 2025 (dollars in thousands): </w:t>
      </w:r>
    </w:p>
    <w:p>
      <w:pPr>
        <w:pStyle w:val="TextBody"/>
        <w:bidi w:val="0"/>
        <w:spacing w:before="0" w:after="0"/>
        <w:ind w:left="0" w:right="0" w:hanging="0"/>
        <w:jc w:val="both"/>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3695"/>
        <w:gridCol w:w="90"/>
        <w:gridCol w:w="190"/>
        <w:gridCol w:w="795"/>
        <w:gridCol w:w="100"/>
        <w:gridCol w:w="100"/>
        <w:gridCol w:w="190"/>
        <w:gridCol w:w="795"/>
        <w:gridCol w:w="100"/>
        <w:gridCol w:w="100"/>
        <w:gridCol w:w="190"/>
        <w:gridCol w:w="930"/>
        <w:gridCol w:w="100"/>
        <w:gridCol w:w="100"/>
        <w:gridCol w:w="190"/>
        <w:gridCol w:w="930"/>
        <w:gridCol w:w="135"/>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Hierarchy as of September 30, 2025</w:t>
            </w:r>
          </w:p>
        </w:tc>
        <w:tc>
          <w:tcPr>
            <w:tcW w:w="135" w:type="dxa"/>
            <w:tcBorders/>
            <w:vAlign w:val="center"/>
          </w:tcPr>
          <w:p>
            <w:pPr>
              <w:pStyle w:val="TableContents"/>
              <w:bidi w:val="0"/>
              <w:spacing w:before="0" w:after="283"/>
              <w:jc w:val="left"/>
              <w:rPr/>
            </w:pPr>
            <w:r>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b/>
              </w:rPr>
            </w:pPr>
            <w:r>
              <w:rPr>
                <w:b/>
              </w:rPr>
              <w:t>Investments:</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27,586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88,981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116,567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0"/>
              <w:jc w:val="right"/>
              <w:rPr/>
            </w:pPr>
            <w:r>
              <w:rPr/>
              <w:t>-</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10,460</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6,997</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17,457</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283"/>
              <w:jc w:val="right"/>
              <w:rPr/>
            </w:pPr>
            <w:r>
              <w:rPr/>
              <w:t>37,812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128,209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166,021</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795" w:type="dxa"/>
            <w:tcBorders>
              <w:bottom w:val="double" w:sz="10" w:space="0" w:color="000000"/>
            </w:tcBorders>
            <w:tcMar>
              <w:bottom w:w="28" w:type="dxa"/>
            </w:tcMar>
            <w:vAlign w:val="center"/>
          </w:tcPr>
          <w:p>
            <w:pPr>
              <w:pStyle w:val="TableContents"/>
              <w:bidi w:val="0"/>
              <w:spacing w:before="0" w:after="283"/>
              <w:jc w:val="right"/>
              <w:rPr/>
            </w:pPr>
            <w:r>
              <w:rPr/>
              <w:t>37,812</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795" w:type="dxa"/>
            <w:tcBorders>
              <w:bottom w:val="double" w:sz="10" w:space="0" w:color="000000"/>
            </w:tcBorders>
            <w:tcMar>
              <w:bottom w:w="28" w:type="dxa"/>
            </w:tcMar>
            <w:vAlign w:val="center"/>
          </w:tcPr>
          <w:p>
            <w:pPr>
              <w:pStyle w:val="TableContents"/>
              <w:bidi w:val="0"/>
              <w:spacing w:before="0" w:after="283"/>
              <w:jc w:val="right"/>
              <w:rPr/>
            </w:pPr>
            <w:r>
              <w:rPr/>
              <w:t>38,046</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224,187</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300,045</w:t>
            </w:r>
          </w:p>
        </w:tc>
        <w:tc>
          <w:tcPr>
            <w:tcW w:w="135"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measured at net asset value</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2,227</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vAlign w:val="center"/>
          </w:tcPr>
          <w:p>
            <w:pPr>
              <w:pStyle w:val="TableContents"/>
              <w:bidi w:val="0"/>
              <w:spacing w:before="0" w:after="283"/>
              <w:jc w:val="left"/>
              <w:rPr/>
            </w:pPr>
            <w:r>
              <w:rPr/>
              <w:t>Total Investments, at fair value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930"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6"/>
        <w:gridCol w:w="9901"/>
      </w:tblGrid>
      <w:tr>
        <w:trPr/>
        <w:tc>
          <w:tcPr>
            <w:tcW w:w="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investments that are measured at fair value using NAV have not been categorized in the fair value hierarchy. The fair value amounts presented in the table are intended to permit reconciliation of the fair value hierarchy to the amount presented in the Consolidated Statements of Assets and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six months ended March 31, 2026 (dollars in thousands):  </w:t>
      </w:r>
    </w:p>
    <w:p>
      <w:pPr>
        <w:pStyle w:val="TextBody"/>
        <w:bidi w:val="0"/>
        <w:spacing w:before="0" w:after="0"/>
        <w:ind w:left="0" w:right="0" w:hanging="0"/>
        <w:jc w:val="both"/>
        <w:rPr>
          <w:caps w:val="false"/>
          <w:smallCaps w:val="false"/>
        </w:rPr>
      </w:pPr>
      <w:r>
        <w:rPr>
          <w:caps w:val="false"/>
          <w:smallCaps w:val="false"/>
        </w:rPr>
        <w:t> </w:t>
      </w:r>
    </w:p>
    <w:tbl>
      <w:tblPr>
        <w:tblW w:w="9299" w:type="dxa"/>
        <w:jc w:val="left"/>
        <w:tblInd w:w="0" w:type="dxa"/>
        <w:tblLayout w:type="fixed"/>
        <w:tblCellMar>
          <w:top w:w="0" w:type="dxa"/>
          <w:left w:w="0" w:type="dxa"/>
          <w:bottom w:w="0" w:type="dxa"/>
          <w:right w:w="0" w:type="dxa"/>
        </w:tblCellMar>
      </w:tblPr>
      <w:tblGrid>
        <w:gridCol w:w="4205"/>
        <w:gridCol w:w="90"/>
        <w:gridCol w:w="253"/>
        <w:gridCol w:w="1056"/>
        <w:gridCol w:w="125"/>
        <w:gridCol w:w="90"/>
        <w:gridCol w:w="195"/>
        <w:gridCol w:w="680"/>
        <w:gridCol w:w="90"/>
        <w:gridCol w:w="90"/>
        <w:gridCol w:w="176"/>
        <w:gridCol w:w="864"/>
        <w:gridCol w:w="125"/>
        <w:gridCol w:w="90"/>
        <w:gridCol w:w="170"/>
        <w:gridCol w:w="830"/>
        <w:gridCol w:w="170"/>
      </w:tblGrid>
      <w:tr>
        <w:trPr/>
        <w:tc>
          <w:tcPr>
            <w:tcW w:w="4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w:t>
              <w:br/>
              <w:t>Secured</w:t>
              <w:br/>
              <w:t>First Lien</w:t>
              <w:br/>
              <w:t>Term Loans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w:t>
              <w:br/>
              <w:t>Secured</w:t>
              <w:b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Equities/</w:t>
              <w:b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Balance as of September 30, 2025</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88,981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128,209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224,187</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vAlign w:val="center"/>
          </w:tcPr>
          <w:p>
            <w:pPr>
              <w:pStyle w:val="TableContents"/>
              <w:bidi w:val="0"/>
              <w:spacing w:before="0" w:after="283"/>
              <w:jc w:val="left"/>
              <w:rPr/>
            </w:pPr>
            <w:r>
              <w:rPr/>
              <w:t>Purchases and other adjustments to cost</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14,574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12,989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27,509</w:t>
            </w:r>
          </w:p>
        </w:tc>
        <w:tc>
          <w:tcPr>
            <w:tcW w:w="170" w:type="dxa"/>
            <w:tcBorders/>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Sales (including repayments or maturities)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(3,835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(2,666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(6,501</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4205" w:type="dxa"/>
            <w:tcBorders/>
            <w:vAlign w:val="center"/>
          </w:tcPr>
          <w:p>
            <w:pPr>
              <w:pStyle w:val="TableContents"/>
              <w:bidi w:val="0"/>
              <w:spacing w:before="0" w:after="283"/>
              <w:jc w:val="left"/>
              <w:rPr/>
            </w:pPr>
            <w:r>
              <w:rPr/>
              <w:t>Net realized gains/(losses) from investments</w:t>
            </w:r>
          </w:p>
        </w:tc>
        <w:tc>
          <w:tcPr>
            <w:tcW w:w="9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ind w:left="0" w:right="0" w:hanging="0"/>
              <w:jc w:val="left"/>
              <w:rPr/>
            </w:pPr>
            <w:r>
              <w:rPr/>
              <w:t>)</w:t>
            </w:r>
          </w:p>
        </w:tc>
      </w:tr>
      <w:tr>
        <w:trPr/>
        <w:tc>
          <w:tcPr>
            <w:tcW w:w="4205" w:type="dxa"/>
            <w:tcBorders/>
            <w:shd w:fill="CCEEFF" w:val="clear"/>
            <w:vAlign w:val="center"/>
          </w:tcPr>
          <w:p>
            <w:pPr>
              <w:pStyle w:val="TableContents"/>
              <w:bidi w:val="0"/>
              <w:spacing w:before="0" w:after="283"/>
              <w:jc w:val="left"/>
              <w:rPr/>
            </w:pPr>
            <w:r>
              <w:rPr/>
              <w:t>Net unrealized gains/(losses)</w:t>
            </w:r>
          </w:p>
        </w:tc>
        <w:tc>
          <w:tcPr>
            <w:tcW w:w="9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(4,730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(4,487</w:t>
            </w:r>
          </w:p>
        </w:tc>
        <w:tc>
          <w:tcPr>
            <w:tcW w:w="170" w:type="dxa"/>
            <w:tcBorders/>
            <w:shd w:fill="CCEEFF" w:val="clear"/>
            <w:vAlign w:val="center"/>
          </w:tcPr>
          <w:p>
            <w:pPr>
              <w:pStyle w:val="TableContents"/>
              <w:bidi w:val="0"/>
              <w:spacing w:before="0" w:after="283"/>
              <w:ind w:left="0" w:right="0" w:hanging="0"/>
              <w:jc w:val="left"/>
              <w:rPr/>
            </w:pPr>
            <w:r>
              <w:rPr/>
              <w:t>)</w:t>
            </w:r>
          </w:p>
        </w:tc>
      </w:tr>
      <w:tr>
        <w:trPr/>
        <w:tc>
          <w:tcPr>
            <w:tcW w:w="4205" w:type="dxa"/>
            <w:tcBorders/>
            <w:vAlign w:val="center"/>
          </w:tcPr>
          <w:p>
            <w:pPr>
              <w:pStyle w:val="TableContents"/>
              <w:bidi w:val="0"/>
              <w:spacing w:before="0" w:after="283"/>
              <w:jc w:val="left"/>
              <w:rPr/>
            </w:pPr>
            <w:r>
              <w:rPr/>
              <w:t>Transfer in/(out)</w:t>
            </w:r>
          </w:p>
        </w:tc>
        <w:tc>
          <w:tcPr>
            <w:tcW w:w="90" w:type="dxa"/>
            <w:tcBorders/>
            <w:vAlign w:val="center"/>
          </w:tcPr>
          <w:p>
            <w:pPr>
              <w:pStyle w:val="TableContents"/>
              <w:bidi w:val="0"/>
              <w:spacing w:before="0" w:after="283"/>
              <w:jc w:val="left"/>
              <w:rPr/>
            </w:pPr>
            <w:r>
              <w:rPr/>
              <w:t> </w:t>
            </w:r>
          </w:p>
        </w:tc>
        <w:tc>
          <w:tcPr>
            <w:tcW w:w="25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283"/>
              <w:jc w:val="left"/>
              <w:rPr/>
            </w:pPr>
            <w:r>
              <w:rPr/>
              <w:t>Balance as of March 31, 2026</w:t>
            </w:r>
          </w:p>
        </w:tc>
        <w:tc>
          <w:tcPr>
            <w:tcW w:w="90" w:type="dxa"/>
            <w:tcBorders/>
            <w:shd w:fill="CCEEFF" w:val="clear"/>
            <w:vAlign w:val="center"/>
          </w:tcPr>
          <w:p>
            <w:pPr>
              <w:pStyle w:val="TableContents"/>
              <w:bidi w:val="0"/>
              <w:spacing w:before="0" w:after="283"/>
              <w:jc w:val="left"/>
              <w:rPr/>
            </w:pPr>
            <w:r>
              <w:rPr/>
              <w:t> </w:t>
            </w:r>
          </w:p>
        </w:tc>
        <w:tc>
          <w:tcPr>
            <w:tcW w:w="25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double" w:sz="10" w:space="0" w:color="000000"/>
            </w:tcBorders>
            <w:shd w:fill="CCEEFF" w:val="clear"/>
            <w:tcMar>
              <w:bottom w:w="28" w:type="dxa"/>
            </w:tcMar>
            <w:vAlign w:val="center"/>
          </w:tcPr>
          <w:p>
            <w:pPr>
              <w:pStyle w:val="TableContents"/>
              <w:bidi w:val="0"/>
              <w:spacing w:before="0" w:after="283"/>
              <w:jc w:val="right"/>
              <w:rPr/>
            </w:pPr>
            <w:r>
              <w:rPr/>
              <w:t>95,006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4" w:type="dxa"/>
            <w:tcBorders>
              <w:bottom w:val="double" w:sz="10" w:space="0" w:color="000000"/>
            </w:tcBorders>
            <w:shd w:fill="CCEEFF" w:val="clear"/>
            <w:tcMar>
              <w:bottom w:w="28" w:type="dxa"/>
            </w:tcMar>
            <w:vAlign w:val="center"/>
          </w:tcPr>
          <w:p>
            <w:pPr>
              <w:pStyle w:val="TableContents"/>
              <w:bidi w:val="0"/>
              <w:spacing w:before="0" w:after="283"/>
              <w:jc w:val="right"/>
              <w:rPr/>
            </w:pPr>
            <w:r>
              <w:rPr/>
              <w:t>138,655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240,658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beginning and ending balances for investments that use Level 3 inputs for the six months ended March 31, 2025 (dollars in thousands): </w:t>
      </w:r>
    </w:p>
    <w:p>
      <w:pPr>
        <w:pStyle w:val="TextBody"/>
        <w:bidi w:val="0"/>
        <w:spacing w:before="0" w:after="0"/>
        <w:ind w:left="0" w:right="0" w:hanging="0"/>
        <w:jc w:val="left"/>
        <w:rPr>
          <w:caps w:val="false"/>
          <w:smallCaps w:val="false"/>
        </w:rPr>
      </w:pPr>
      <w:r>
        <w:rPr>
          <w:caps w:val="false"/>
          <w:smallCaps w:val="false"/>
        </w:rPr>
        <w:t> </w:t>
      </w:r>
    </w:p>
    <w:tbl>
      <w:tblPr>
        <w:tblW w:w="9299" w:type="dxa"/>
        <w:jc w:val="left"/>
        <w:tblInd w:w="0" w:type="dxa"/>
        <w:tblLayout w:type="fixed"/>
        <w:tblCellMar>
          <w:top w:w="0" w:type="dxa"/>
          <w:left w:w="0" w:type="dxa"/>
          <w:bottom w:w="0" w:type="dxa"/>
          <w:right w:w="0" w:type="dxa"/>
        </w:tblCellMar>
      </w:tblPr>
      <w:tblGrid>
        <w:gridCol w:w="4205"/>
        <w:gridCol w:w="90"/>
        <w:gridCol w:w="233"/>
        <w:gridCol w:w="1076"/>
        <w:gridCol w:w="125"/>
        <w:gridCol w:w="90"/>
        <w:gridCol w:w="195"/>
        <w:gridCol w:w="680"/>
        <w:gridCol w:w="90"/>
        <w:gridCol w:w="90"/>
        <w:gridCol w:w="176"/>
        <w:gridCol w:w="864"/>
        <w:gridCol w:w="125"/>
        <w:gridCol w:w="90"/>
        <w:gridCol w:w="170"/>
        <w:gridCol w:w="830"/>
        <w:gridCol w:w="170"/>
      </w:tblGrid>
      <w:tr>
        <w:trPr/>
        <w:tc>
          <w:tcPr>
            <w:tcW w:w="4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w:t>
              <w:br/>
              <w:t>Secured</w:t>
              <w:br/>
              <w:t>First Lien</w:t>
              <w:br/>
              <w:t>Term Loans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Senior</w:t>
              <w:br/>
              <w:t>Secured</w:t>
              <w:b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Equities/</w:t>
              <w:b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Balance as of September 30, 2024</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76" w:type="dxa"/>
            <w:tcBorders/>
            <w:shd w:fill="CCEEFF" w:val="clear"/>
            <w:vAlign w:val="center"/>
          </w:tcPr>
          <w:p>
            <w:pPr>
              <w:pStyle w:val="TableContents"/>
              <w:bidi w:val="0"/>
              <w:spacing w:before="0" w:after="283"/>
              <w:jc w:val="right"/>
              <w:rPr/>
            </w:pPr>
            <w:r>
              <w:rPr/>
              <w:t>68,987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7,422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4" w:type="dxa"/>
            <w:tcBorders/>
            <w:shd w:fill="CCEEFF" w:val="clear"/>
            <w:vAlign w:val="center"/>
          </w:tcPr>
          <w:p>
            <w:pPr>
              <w:pStyle w:val="TableContents"/>
              <w:bidi w:val="0"/>
              <w:spacing w:before="0" w:after="283"/>
              <w:jc w:val="right"/>
              <w:rPr/>
            </w:pPr>
            <w:r>
              <w:rPr/>
              <w:t>63,881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140,290</w:t>
            </w:r>
          </w:p>
        </w:tc>
        <w:tc>
          <w:tcPr>
            <w:tcW w:w="170"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Purchases and other adjustments to cost</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46,455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283"/>
              <w:jc w:val="right"/>
              <w:rPr/>
            </w:pPr>
            <w:r>
              <w:rPr/>
              <w:t>75,473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121,928</w:t>
            </w:r>
          </w:p>
        </w:tc>
        <w:tc>
          <w:tcPr>
            <w:tcW w:w="17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Sales (including repayments or maturities)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(19,625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(11,467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(31,092</w:t>
            </w:r>
          </w:p>
        </w:tc>
        <w:tc>
          <w:tcPr>
            <w:tcW w:w="170" w:type="dxa"/>
            <w:tcBorders/>
            <w:shd w:fill="CCEEFF" w:val="clear"/>
            <w:vAlign w:val="center"/>
          </w:tcPr>
          <w:p>
            <w:pPr>
              <w:pStyle w:val="TableContents"/>
              <w:bidi w:val="0"/>
              <w:spacing w:before="0" w:after="283"/>
              <w:jc w:val="left"/>
              <w:rPr/>
            </w:pPr>
            <w:r>
              <w:rPr/>
              <w:t>)</w:t>
            </w:r>
          </w:p>
        </w:tc>
      </w:tr>
      <w:tr>
        <w:trPr/>
        <w:tc>
          <w:tcPr>
            <w:tcW w:w="4205" w:type="dxa"/>
            <w:tcBorders/>
            <w:vAlign w:val="center"/>
          </w:tcPr>
          <w:p>
            <w:pPr>
              <w:pStyle w:val="TableContents"/>
              <w:bidi w:val="0"/>
              <w:spacing w:before="0" w:after="283"/>
              <w:jc w:val="left"/>
              <w:rPr/>
            </w:pPr>
            <w:r>
              <w:rPr/>
              <w:t>Net realized gains/(losses) from investments</w:t>
            </w:r>
          </w:p>
        </w:tc>
        <w:tc>
          <w:tcPr>
            <w:tcW w:w="9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(1,388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(1,388</w:t>
            </w:r>
          </w:p>
        </w:tc>
        <w:tc>
          <w:tcPr>
            <w:tcW w:w="170" w:type="dxa"/>
            <w:tcBorders/>
            <w:vAlign w:val="center"/>
          </w:tcPr>
          <w:p>
            <w:pPr>
              <w:pStyle w:val="TableContents"/>
              <w:bidi w:val="0"/>
              <w:spacing w:before="0" w:after="283"/>
              <w:jc w:val="left"/>
              <w:rPr/>
            </w:pPr>
            <w:r>
              <w:rPr/>
              <w:t>)</w:t>
            </w:r>
          </w:p>
        </w:tc>
      </w:tr>
      <w:tr>
        <w:trPr/>
        <w:tc>
          <w:tcPr>
            <w:tcW w:w="4205" w:type="dxa"/>
            <w:tcBorders/>
            <w:shd w:fill="CCEEFF" w:val="clear"/>
            <w:vAlign w:val="center"/>
          </w:tcPr>
          <w:p>
            <w:pPr>
              <w:pStyle w:val="TableContents"/>
              <w:bidi w:val="0"/>
              <w:spacing w:before="0" w:after="283"/>
              <w:jc w:val="left"/>
              <w:rPr/>
            </w:pPr>
            <w:r>
              <w:rPr/>
              <w:t>Net unrealized gains/(losses)</w:t>
            </w:r>
          </w:p>
        </w:tc>
        <w:tc>
          <w:tcPr>
            <w:tcW w:w="9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1,410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(1,736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(326</w:t>
            </w:r>
          </w:p>
        </w:tc>
        <w:tc>
          <w:tcPr>
            <w:tcW w:w="170" w:type="dxa"/>
            <w:tcBorders/>
            <w:shd w:fill="CCEEFF" w:val="clear"/>
            <w:vAlign w:val="center"/>
          </w:tcPr>
          <w:p>
            <w:pPr>
              <w:pStyle w:val="TableContents"/>
              <w:bidi w:val="0"/>
              <w:spacing w:before="0" w:after="283"/>
              <w:jc w:val="left"/>
              <w:rPr/>
            </w:pPr>
            <w:r>
              <w:rPr/>
              <w:t>)</w:t>
            </w:r>
          </w:p>
        </w:tc>
      </w:tr>
      <w:tr>
        <w:trPr/>
        <w:tc>
          <w:tcPr>
            <w:tcW w:w="4205" w:type="dxa"/>
            <w:tcBorders/>
            <w:vAlign w:val="center"/>
          </w:tcPr>
          <w:p>
            <w:pPr>
              <w:pStyle w:val="TableContents"/>
              <w:bidi w:val="0"/>
              <w:spacing w:before="0" w:after="283"/>
              <w:jc w:val="left"/>
              <w:rPr/>
            </w:pPr>
            <w:r>
              <w:rPr/>
              <w:t>Transfer in/(out)</w:t>
            </w:r>
          </w:p>
        </w:tc>
        <w:tc>
          <w:tcPr>
            <w:tcW w:w="90" w:type="dxa"/>
            <w:tcBorders/>
            <w:vAlign w:val="center"/>
          </w:tcPr>
          <w:p>
            <w:pPr>
              <w:pStyle w:val="TableContents"/>
              <w:bidi w:val="0"/>
              <w:spacing w:before="0" w:after="283"/>
              <w:jc w:val="left"/>
              <w:rPr/>
            </w:pPr>
            <w:r>
              <w:rPr/>
              <w:t> </w:t>
            </w:r>
          </w:p>
        </w:tc>
        <w:tc>
          <w:tcPr>
            <w:tcW w:w="2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6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Balance as of March 31, 2025</w:t>
            </w:r>
          </w:p>
        </w:tc>
        <w:tc>
          <w:tcPr>
            <w:tcW w:w="9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pPr>
            <w:r>
              <w:rPr/>
              <w:t>95,839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7,422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4" w:type="dxa"/>
            <w:tcBorders>
              <w:bottom w:val="double" w:sz="10" w:space="0" w:color="000000"/>
            </w:tcBorders>
            <w:shd w:fill="CCEEFF" w:val="clear"/>
            <w:tcMar>
              <w:bottom w:w="28" w:type="dxa"/>
            </w:tcMar>
            <w:vAlign w:val="center"/>
          </w:tcPr>
          <w:p>
            <w:pPr>
              <w:pStyle w:val="TableContents"/>
              <w:bidi w:val="0"/>
              <w:spacing w:before="0" w:after="283"/>
              <w:jc w:val="right"/>
              <w:rPr/>
            </w:pPr>
            <w:r>
              <w:rPr/>
              <w:t>126,151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229,412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gain (loss) for the six months ended March 31, 2026 and 2025 included in earnings related to Level 3 investments still held as of March 31, 2026 and 2025 was approximately $(4.4) million and $(0.1)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and other adjustments to cost include purchases of new investments at cost, effects of refinancing/restructuring, accretion/amortization of income from discount/premium on debt securities, and PIK.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represent net proceeds received from investments sold, including any repayments or maturities.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review of the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During the six months ended March 31, 2026 and March 31, 2025, no investments were transferred in or out of Level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Fair Value Measurements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about Level 3 fair value measurements of our investments, as of March 31, 2026 (dollars in thousands):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1"/>
        <w:gridCol w:w="90"/>
        <w:gridCol w:w="194"/>
        <w:gridCol w:w="951"/>
        <w:gridCol w:w="90"/>
        <w:gridCol w:w="90"/>
        <w:gridCol w:w="1622"/>
        <w:gridCol w:w="90"/>
        <w:gridCol w:w="1625"/>
        <w:gridCol w:w="90"/>
        <w:gridCol w:w="1618"/>
        <w:gridCol w:w="90"/>
        <w:gridCol w:w="1404"/>
      </w:tblGrid>
      <w:tr>
        <w:trPr/>
        <w:tc>
          <w:tcPr>
            <w:tcW w:w="225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22"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Valuation </w:t>
              <w:br/>
              <w:t>Methodology</w:t>
            </w:r>
          </w:p>
        </w:tc>
        <w:tc>
          <w:tcPr>
            <w:tcW w:w="90" w:type="dxa"/>
            <w:tcBorders/>
            <w:vAlign w:val="center"/>
          </w:tcPr>
          <w:p>
            <w:pPr>
              <w:pStyle w:val="TableContents"/>
              <w:bidi w:val="0"/>
              <w:spacing w:before="0" w:after="283"/>
              <w:jc w:val="center"/>
              <w:rPr/>
            </w:pPr>
            <w:r>
              <w:rPr/>
              <w:t> </w:t>
            </w:r>
          </w:p>
        </w:tc>
        <w:tc>
          <w:tcPr>
            <w:tcW w:w="1625" w:type="dxa"/>
            <w:tcBorders>
              <w:bottom w:val="single" w:sz="12" w:space="0" w:color="000000"/>
            </w:tcBorders>
            <w:tcMar>
              <w:bottom w:w="28" w:type="dxa"/>
            </w:tcMar>
            <w:vAlign w:val="center"/>
          </w:tcPr>
          <w:p>
            <w:pPr>
              <w:pStyle w:val="TableContents"/>
              <w:bidi w:val="0"/>
              <w:spacing w:before="0" w:after="283"/>
              <w:jc w:val="center"/>
              <w:rPr>
                <w:b/>
              </w:rPr>
            </w:pPr>
            <w:r>
              <w:rPr>
                <w:b/>
              </w:rPr>
              <w:t>Unobservable</w:t>
              <w:br/>
              <w:t>Input</w:t>
            </w:r>
          </w:p>
        </w:tc>
        <w:tc>
          <w:tcPr>
            <w:tcW w:w="90" w:type="dxa"/>
            <w:tcBorders/>
            <w:vAlign w:val="center"/>
          </w:tcPr>
          <w:p>
            <w:pPr>
              <w:pStyle w:val="TableContents"/>
              <w:bidi w:val="0"/>
              <w:spacing w:before="0" w:after="283"/>
              <w:jc w:val="center"/>
              <w:rPr/>
            </w:pPr>
            <w:r>
              <w:rPr/>
              <w:t> </w:t>
            </w:r>
          </w:p>
        </w:tc>
        <w:tc>
          <w:tcPr>
            <w:tcW w:w="1618" w:type="dxa"/>
            <w:tcBorders>
              <w:bottom w:val="single" w:sz="12" w:space="0" w:color="000000"/>
            </w:tcBorders>
            <w:tcMar>
              <w:bottom w:w="28" w:type="dxa"/>
            </w:tcMar>
            <w:vAlign w:val="center"/>
          </w:tcPr>
          <w:p>
            <w:pPr>
              <w:pStyle w:val="TableContents"/>
              <w:bidi w:val="0"/>
              <w:spacing w:before="0" w:after="283"/>
              <w:jc w:val="center"/>
              <w:rPr>
                <w:b/>
              </w:rPr>
            </w:pPr>
            <w:r>
              <w:rPr>
                <w:b/>
              </w:rPr>
              <w:t>Range</w:t>
              <w:br/>
              <w:t>(Weighted Average)</w:t>
            </w:r>
          </w:p>
        </w:tc>
        <w:tc>
          <w:tcPr>
            <w:tcW w:w="90" w:type="dxa"/>
            <w:tcBorders/>
            <w:vAlign w:val="center"/>
          </w:tcPr>
          <w:p>
            <w:pPr>
              <w:pStyle w:val="TableContents"/>
              <w:bidi w:val="0"/>
              <w:spacing w:before="0" w:after="283"/>
              <w:jc w:val="center"/>
              <w:rPr/>
            </w:pPr>
            <w:r>
              <w:rPr/>
              <w:t> </w:t>
            </w:r>
          </w:p>
        </w:tc>
        <w:tc>
          <w:tcPr>
            <w:tcW w:w="1404" w:type="dxa"/>
            <w:tcBorders>
              <w:bottom w:val="single" w:sz="12" w:space="0" w:color="000000"/>
            </w:tcBorders>
            <w:tcMar>
              <w:bottom w:w="28" w:type="dxa"/>
            </w:tcMar>
            <w:vAlign w:val="center"/>
          </w:tcPr>
          <w:p>
            <w:pPr>
              <w:pStyle w:val="TableContents"/>
              <w:bidi w:val="0"/>
              <w:spacing w:before="0" w:after="283"/>
              <w:jc w:val="center"/>
              <w:rPr>
                <w:b/>
              </w:rPr>
            </w:pPr>
            <w:r>
              <w:rPr>
                <w:b/>
              </w:rPr>
              <w:t>Impact to</w:t>
              <w:br/>
              <w:t>Valuation From</w:t>
              <w:br/>
              <w:t>An Increase In</w:t>
              <w:br/>
              <w:t>Input</w:t>
            </w:r>
          </w:p>
        </w:tc>
      </w:tr>
      <w:tr>
        <w:trPr/>
        <w:tc>
          <w:tcPr>
            <w:tcW w:w="2251"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85,193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left"/>
              <w:rPr/>
            </w:pPr>
            <w:r>
              <w:rPr/>
              <w:t>Income Approach</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Market Yield</w:t>
            </w:r>
          </w:p>
        </w:tc>
        <w:tc>
          <w:tcPr>
            <w:tcW w:w="9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center"/>
              <w:rPr/>
            </w:pPr>
            <w:r>
              <w:rPr/>
              <w:t>4.5% - 21.0% (11.3%)</w:t>
            </w:r>
          </w:p>
        </w:tc>
        <w:tc>
          <w:tcPr>
            <w:tcW w:w="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center"/>
              <w:rPr/>
            </w:pPr>
            <w:r>
              <w:rPr/>
              <w:t>Decrease</w:t>
            </w:r>
          </w:p>
        </w:tc>
      </w:tr>
      <w:tr>
        <w:trPr/>
        <w:tc>
          <w:tcPr>
            <w:tcW w:w="2251"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9,742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center"/>
              <w:rPr/>
            </w:pPr>
            <w:r>
              <w:rPr/>
              <w:t>2.8x - 3.8x (3.3x)</w:t>
            </w:r>
          </w:p>
        </w:tc>
        <w:tc>
          <w:tcPr>
            <w:tcW w:w="9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center"/>
              <w:rPr/>
            </w:pPr>
            <w:r>
              <w:rPr/>
              <w:t>Increase</w:t>
            </w:r>
          </w:p>
        </w:tc>
      </w:tr>
      <w:tr>
        <w:trPr/>
        <w:tc>
          <w:tcPr>
            <w:tcW w:w="2251"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left"/>
              <w:rPr/>
            </w:pPr>
            <w:r>
              <w:rPr/>
              <w:t>Recent Transaction</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center"/>
              <w:rPr/>
            </w:pPr>
            <w:r>
              <w:rPr/>
              <w:t>Purchase Price</w:t>
            </w:r>
          </w:p>
        </w:tc>
        <w:tc>
          <w:tcPr>
            <w:tcW w:w="9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center"/>
              <w:rPr/>
            </w:pPr>
            <w:r>
              <w:rPr/>
              <w:t>N/A</w:t>
            </w:r>
          </w:p>
        </w:tc>
      </w:tr>
      <w:tr>
        <w:trPr/>
        <w:tc>
          <w:tcPr>
            <w:tcW w:w="2251"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6,997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Cost Approach</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Collateral Value</w:t>
            </w:r>
          </w:p>
        </w:tc>
        <w:tc>
          <w:tcPr>
            <w:tcW w:w="90"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center"/>
              <w:rPr/>
            </w:pPr>
            <w:r>
              <w:rPr/>
              <w:t>N/A</w:t>
            </w:r>
          </w:p>
        </w:tc>
      </w:tr>
      <w:tr>
        <w:trPr/>
        <w:tc>
          <w:tcPr>
            <w:tcW w:w="225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85,199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EBITDA Multiple</w:t>
            </w:r>
          </w:p>
        </w:tc>
        <w:tc>
          <w:tcPr>
            <w:tcW w:w="9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center"/>
              <w:rPr/>
            </w:pPr>
            <w:r>
              <w:rPr/>
              <w:t>1.1x - 14.0x (4.5x)</w:t>
            </w:r>
          </w:p>
        </w:tc>
        <w:tc>
          <w:tcPr>
            <w:tcW w:w="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center"/>
              <w:rPr/>
            </w:pPr>
            <w:r>
              <w:rPr/>
              <w:t>Increase</w:t>
            </w:r>
          </w:p>
        </w:tc>
      </w:tr>
      <w:tr>
        <w:trPr/>
        <w:tc>
          <w:tcPr>
            <w:tcW w:w="2251"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36,796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Cost Approach</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Replacement Cost</w:t>
            </w:r>
          </w:p>
        </w:tc>
        <w:tc>
          <w:tcPr>
            <w:tcW w:w="90"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center"/>
              <w:rPr/>
            </w:pPr>
            <w:r>
              <w:rPr/>
              <w:t>N/A</w:t>
            </w:r>
          </w:p>
        </w:tc>
      </w:tr>
      <w:tr>
        <w:trPr/>
        <w:tc>
          <w:tcPr>
            <w:tcW w:w="225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6,655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Revenue Multiple</w:t>
            </w:r>
          </w:p>
        </w:tc>
        <w:tc>
          <w:tcPr>
            <w:tcW w:w="9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center"/>
              <w:rPr/>
            </w:pPr>
            <w:r>
              <w:rPr/>
              <w:t>4.0x-5.0x (4.5x)</w:t>
            </w:r>
          </w:p>
        </w:tc>
        <w:tc>
          <w:tcPr>
            <w:tcW w:w="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center"/>
              <w:rPr/>
            </w:pPr>
            <w:r>
              <w:rPr/>
              <w:t>Increase</w:t>
            </w:r>
          </w:p>
        </w:tc>
      </w:tr>
      <w:tr>
        <w:trPr/>
        <w:tc>
          <w:tcPr>
            <w:tcW w:w="2251"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9,905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Income Approach</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Market Yield</w:t>
            </w:r>
          </w:p>
        </w:tc>
        <w:tc>
          <w:tcPr>
            <w:tcW w:w="90"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center"/>
              <w:rPr/>
            </w:pPr>
            <w:r>
              <w:rPr/>
              <w:t>7.6%-28.8% (16.5%)</w:t>
            </w:r>
          </w:p>
        </w:tc>
        <w:tc>
          <w:tcPr>
            <w:tcW w:w="9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center"/>
              <w:rPr/>
            </w:pPr>
            <w:r>
              <w:rPr/>
              <w:t>Decrease</w:t>
            </w:r>
          </w:p>
        </w:tc>
      </w:tr>
      <w:tr>
        <w:trPr/>
        <w:tc>
          <w:tcPr>
            <w:tcW w:w="2251"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Collateral Value</w:t>
            </w:r>
          </w:p>
        </w:tc>
        <w:tc>
          <w:tcPr>
            <w:tcW w:w="90" w:type="dxa"/>
            <w:tcBorders/>
            <w:shd w:fill="CCEEFF" w:val="clear"/>
            <w:vAlign w:val="center"/>
          </w:tcPr>
          <w:p>
            <w:pPr>
              <w:pStyle w:val="TableContents"/>
              <w:bidi w:val="0"/>
              <w:spacing w:before="0" w:after="283"/>
              <w:jc w:val="left"/>
              <w:rPr/>
            </w:pPr>
            <w:r>
              <w:rPr/>
              <w:t> </w:t>
            </w:r>
          </w:p>
        </w:tc>
        <w:tc>
          <w:tcPr>
            <w:tcW w:w="1618"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center"/>
              <w:rPr/>
            </w:pPr>
            <w:r>
              <w:rPr/>
              <w:t>N/A</w:t>
            </w:r>
          </w:p>
        </w:tc>
      </w:tr>
      <w:tr>
        <w:trPr/>
        <w:tc>
          <w:tcPr>
            <w:tcW w:w="2251"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51" w:type="dxa"/>
            <w:tcBorders>
              <w:bottom w:val="double" w:sz="10" w:space="0" w:color="000000"/>
            </w:tcBorders>
            <w:tcMar>
              <w:bottom w:w="28" w:type="dxa"/>
            </w:tcMar>
            <w:vAlign w:val="center"/>
          </w:tcPr>
          <w:p>
            <w:pPr>
              <w:pStyle w:val="TableContents"/>
              <w:bidi w:val="0"/>
              <w:spacing w:before="0" w:after="283"/>
              <w:jc w:val="right"/>
              <w:rPr>
                <w:b/>
              </w:rPr>
            </w:pPr>
            <w:r>
              <w:rPr>
                <w:b/>
              </w:rPr>
              <w:t>240,658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quantitative information about Level 3 fair value measurements of our investments, as of September 30, 2025 (dollars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0"/>
        <w:gridCol w:w="90"/>
        <w:gridCol w:w="181"/>
        <w:gridCol w:w="887"/>
        <w:gridCol w:w="90"/>
        <w:gridCol w:w="90"/>
        <w:gridCol w:w="1624"/>
        <w:gridCol w:w="90"/>
        <w:gridCol w:w="1626"/>
        <w:gridCol w:w="90"/>
        <w:gridCol w:w="1679"/>
        <w:gridCol w:w="90"/>
        <w:gridCol w:w="1408"/>
      </w:tblGrid>
      <w:tr>
        <w:trPr/>
        <w:tc>
          <w:tcPr>
            <w:tcW w:w="2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Valuation </w:t>
              <w:br/>
              <w:t>Methodology</w:t>
            </w:r>
          </w:p>
        </w:tc>
        <w:tc>
          <w:tcPr>
            <w:tcW w:w="90" w:type="dxa"/>
            <w:tcBorders/>
            <w:vAlign w:val="center"/>
          </w:tcPr>
          <w:p>
            <w:pPr>
              <w:pStyle w:val="TableContents"/>
              <w:bidi w:val="0"/>
              <w:spacing w:before="0" w:after="283"/>
              <w:jc w:val="left"/>
              <w:rPr/>
            </w:pPr>
            <w:r>
              <w:rPr/>
              <w:t> </w:t>
            </w:r>
          </w:p>
        </w:tc>
        <w:tc>
          <w:tcPr>
            <w:tcW w:w="1626"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Unobservable </w:t>
              <w:br/>
              <w:t>Input</w:t>
            </w:r>
          </w:p>
        </w:tc>
        <w:tc>
          <w:tcPr>
            <w:tcW w:w="90" w:type="dxa"/>
            <w:tcBorders/>
            <w:vAlign w:val="center"/>
          </w:tcPr>
          <w:p>
            <w:pPr>
              <w:pStyle w:val="TableContents"/>
              <w:bidi w:val="0"/>
              <w:spacing w:before="0" w:after="283"/>
              <w:jc w:val="left"/>
              <w:rPr/>
            </w:pPr>
            <w:r>
              <w:rPr/>
              <w:t> </w:t>
            </w:r>
          </w:p>
        </w:tc>
        <w:tc>
          <w:tcPr>
            <w:tcW w:w="1679"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Range </w:t>
              <w:br/>
              <w:t>(Weighted Average)</w:t>
            </w:r>
          </w:p>
        </w:tc>
        <w:tc>
          <w:tcPr>
            <w:tcW w:w="90" w:type="dxa"/>
            <w:tcBorders/>
            <w:vAlign w:val="center"/>
          </w:tcPr>
          <w:p>
            <w:pPr>
              <w:pStyle w:val="TableContents"/>
              <w:bidi w:val="0"/>
              <w:spacing w:before="0" w:after="283"/>
              <w:jc w:val="left"/>
              <w:rPr/>
            </w:pPr>
            <w:r>
              <w:rPr/>
              <w:t> </w:t>
            </w:r>
          </w:p>
        </w:tc>
        <w:tc>
          <w:tcPr>
            <w:tcW w:w="1408" w:type="dxa"/>
            <w:tcBorders>
              <w:bottom w:val="single" w:sz="12" w:space="0" w:color="000000"/>
            </w:tcBorders>
            <w:tcMar>
              <w:bottom w:w="28" w:type="dxa"/>
            </w:tcMar>
            <w:vAlign w:val="center"/>
          </w:tcPr>
          <w:p>
            <w:pPr>
              <w:pStyle w:val="TableContents"/>
              <w:bidi w:val="0"/>
              <w:spacing w:before="0" w:after="283"/>
              <w:ind w:left="0" w:right="0" w:hanging="0"/>
              <w:jc w:val="center"/>
              <w:rPr>
                <w:b/>
              </w:rPr>
            </w:pPr>
            <w:r>
              <w:rPr>
                <w:b/>
              </w:rPr>
              <w:t>Impact to</w:t>
              <w:br/>
              <w:t>Valuation From</w:t>
              <w:br/>
              <w:t>An Increase In</w:t>
              <w:br/>
              <w:t>Input</w:t>
            </w:r>
          </w:p>
        </w:tc>
      </w:tr>
      <w:tr>
        <w:trPr/>
        <w:tc>
          <w:tcPr>
            <w:tcW w:w="2260"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74,485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Income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Market Yield</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3.3% - 14.5% (10.0%)</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Decrease</w:t>
            </w:r>
          </w:p>
        </w:tc>
      </w:tr>
      <w:tr>
        <w:trPr/>
        <w:tc>
          <w:tcPr>
            <w:tcW w:w="2260"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13,428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 </w:t>
            </w:r>
            <w:r>
              <w:rPr/>
              <w:t>1.8x - 2.8x (2.3x)</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ind w:left="0" w:right="0" w:hanging="0"/>
              <w:jc w:val="center"/>
              <w:rPr/>
            </w:pPr>
            <w:r>
              <w:rPr/>
              <w:t>Increase</w:t>
            </w:r>
          </w:p>
        </w:tc>
      </w:tr>
      <w:tr>
        <w:trPr/>
        <w:tc>
          <w:tcPr>
            <w:tcW w:w="2260"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Market Spread</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4.8% - 5.5% (5.1%)</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Increase</w:t>
            </w:r>
          </w:p>
        </w:tc>
      </w:tr>
      <w:tr>
        <w:trPr/>
        <w:tc>
          <w:tcPr>
            <w:tcW w:w="2260" w:type="dxa"/>
            <w:tcBorders/>
            <w:vAlign w:val="center"/>
          </w:tcPr>
          <w:p>
            <w:pPr>
              <w:pStyle w:val="TableContents"/>
              <w:bidi w:val="0"/>
              <w:spacing w:before="0" w:after="283"/>
              <w:jc w:val="left"/>
              <w:rPr/>
            </w:pPr>
            <w:r>
              <w:rPr/>
              <w:t>Senior Secured First Lien Term Loans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Recent Transaction</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Purchase Price</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ind w:left="0" w:right="0" w:hanging="0"/>
              <w:jc w:val="center"/>
              <w:rPr/>
            </w:pPr>
            <w:r>
              <w:rPr/>
              <w:t>N/A</w:t>
            </w:r>
          </w:p>
        </w:tc>
      </w:tr>
      <w:tr>
        <w:trPr/>
        <w:tc>
          <w:tcPr>
            <w:tcW w:w="2260" w:type="dxa"/>
            <w:tcBorders/>
            <w:shd w:fill="CCEEFF" w:val="clear"/>
            <w:vAlign w:val="center"/>
          </w:tcPr>
          <w:p>
            <w:pPr>
              <w:pStyle w:val="TableContents"/>
              <w:bidi w:val="0"/>
              <w:spacing w:before="0" w:after="283"/>
              <w:jc w:val="left"/>
              <w:rPr/>
            </w:pPr>
            <w:r>
              <w:rPr/>
              <w:t>Senior Secured Notes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6,997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Collateral Value</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N/A</w:t>
            </w:r>
          </w:p>
        </w:tc>
      </w:tr>
      <w:tr>
        <w:trPr/>
        <w:tc>
          <w:tcPr>
            <w:tcW w:w="2260"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78,255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EBITDA Multiple</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1.3x - 13.0x (11.0x)</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ind w:left="0" w:right="0" w:hanging="0"/>
              <w:jc w:val="center"/>
              <w:rPr/>
            </w:pPr>
            <w:r>
              <w:rPr/>
              <w:t>Increase</w:t>
            </w:r>
          </w:p>
        </w:tc>
      </w:tr>
      <w:tr>
        <w:trPr/>
        <w:tc>
          <w:tcPr>
            <w:tcW w:w="2260"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37,181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Replacement Cost</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N/A</w:t>
            </w:r>
          </w:p>
        </w:tc>
      </w:tr>
      <w:tr>
        <w:trPr/>
        <w:tc>
          <w:tcPr>
            <w:tcW w:w="2260"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3,948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Market Approach</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Market Quote</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N/A</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ind w:left="0" w:right="0" w:hanging="0"/>
              <w:jc w:val="center"/>
              <w:rPr/>
            </w:pPr>
            <w:r>
              <w:rPr/>
              <w:t>N/A</w:t>
            </w:r>
          </w:p>
        </w:tc>
      </w:tr>
      <w:tr>
        <w:trPr/>
        <w:tc>
          <w:tcPr>
            <w:tcW w:w="2260"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Market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Revenue Multiple</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2.5x-3.0x (2.8x)</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Increase</w:t>
            </w:r>
          </w:p>
        </w:tc>
      </w:tr>
      <w:tr>
        <w:trPr/>
        <w:tc>
          <w:tcPr>
            <w:tcW w:w="2260"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Income Approach</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Market Yield</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28.3% - 28.8% (28.5%)</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ind w:left="0" w:right="0" w:hanging="0"/>
              <w:jc w:val="center"/>
              <w:rPr/>
            </w:pPr>
            <w:r>
              <w:rPr/>
              <w:t>Decrease</w:t>
            </w:r>
          </w:p>
        </w:tc>
      </w:tr>
      <w:tr>
        <w:trPr/>
        <w:tc>
          <w:tcPr>
            <w:tcW w:w="2260" w:type="dxa"/>
            <w:tcBorders/>
            <w:shd w:fill="CCEEFF" w:val="clear"/>
            <w:vAlign w:val="center"/>
          </w:tcPr>
          <w:p>
            <w:pPr>
              <w:pStyle w:val="TableContents"/>
              <w:bidi w:val="0"/>
              <w:spacing w:before="0" w:after="283"/>
              <w:jc w:val="left"/>
              <w:rPr/>
            </w:pPr>
            <w:r>
              <w:rPr/>
              <w:t>Equity/Warrants</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7" w:type="dxa"/>
            <w:tcBorders>
              <w:bottom w:val="single" w:sz="12" w:space="0" w:color="000000"/>
            </w:tcBorders>
            <w:shd w:fill="CCEEFF" w:val="clear"/>
            <w:tcMar>
              <w:bottom w:w="28" w:type="dxa"/>
            </w:tcM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624" w:type="dxa"/>
            <w:tcBorders/>
            <w:shd w:fill="CCEEFF" w:val="clear"/>
            <w:vAlign w:val="center"/>
          </w:tcPr>
          <w:p>
            <w:pPr>
              <w:pStyle w:val="TableContents"/>
              <w:bidi w:val="0"/>
              <w:spacing w:before="0" w:after="283"/>
              <w:jc w:val="left"/>
              <w:rPr/>
            </w:pPr>
            <w:r>
              <w:rPr/>
              <w:t>Cost Approach</w:t>
            </w:r>
          </w:p>
        </w:tc>
        <w:tc>
          <w:tcPr>
            <w:tcW w:w="90" w:type="dxa"/>
            <w:tcBorders/>
            <w:shd w:fill="CCEEFF" w:val="clear"/>
            <w:vAlign w:val="center"/>
          </w:tcPr>
          <w:p>
            <w:pPr>
              <w:pStyle w:val="TableContents"/>
              <w:bidi w:val="0"/>
              <w:spacing w:before="0" w:after="283"/>
              <w:ind w:left="0" w:right="0" w:hanging="0"/>
              <w:jc w:val="left"/>
              <w:rPr/>
            </w:pPr>
            <w:r>
              <w:rPr/>
              <w:t> </w:t>
            </w:r>
          </w:p>
        </w:tc>
        <w:tc>
          <w:tcPr>
            <w:tcW w:w="1626" w:type="dxa"/>
            <w:tcBorders/>
            <w:shd w:fill="CCEEFF" w:val="clear"/>
            <w:vAlign w:val="center"/>
          </w:tcPr>
          <w:p>
            <w:pPr>
              <w:pStyle w:val="TableContents"/>
              <w:bidi w:val="0"/>
              <w:spacing w:before="0" w:after="283"/>
              <w:jc w:val="left"/>
              <w:rPr/>
            </w:pPr>
            <w:r>
              <w:rPr/>
              <w:t>Collateral Value</w:t>
            </w:r>
          </w:p>
        </w:tc>
        <w:tc>
          <w:tcPr>
            <w:tcW w:w="9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ind w:left="0" w:right="0" w:hanging="0"/>
              <w:jc w:val="left"/>
              <w:rPr/>
            </w:pPr>
            <w:r>
              <w:rPr/>
              <w:t> </w:t>
            </w:r>
          </w:p>
        </w:tc>
        <w:tc>
          <w:tcPr>
            <w:tcW w:w="1408" w:type="dxa"/>
            <w:tcBorders/>
            <w:shd w:fill="CCEEFF" w:val="clear"/>
            <w:vAlign w:val="center"/>
          </w:tcPr>
          <w:p>
            <w:pPr>
              <w:pStyle w:val="TableContents"/>
              <w:bidi w:val="0"/>
              <w:spacing w:before="0" w:after="283"/>
              <w:ind w:left="0" w:right="0" w:hanging="0"/>
              <w:jc w:val="center"/>
              <w:rPr/>
            </w:pPr>
            <w:r>
              <w:rPr/>
              <w:t>N/A</w:t>
            </w:r>
          </w:p>
        </w:tc>
      </w:tr>
      <w:tr>
        <w:trPr/>
        <w:tc>
          <w:tcPr>
            <w:tcW w:w="22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87" w:type="dxa"/>
            <w:tcBorders>
              <w:bottom w:val="double" w:sz="10" w:space="0" w:color="000000"/>
            </w:tcBorders>
            <w:tcMar>
              <w:bottom w:w="28" w:type="dxa"/>
            </w:tcMar>
            <w:vAlign w:val="center"/>
          </w:tcPr>
          <w:p>
            <w:pPr>
              <w:pStyle w:val="TableContents"/>
              <w:bidi w:val="0"/>
              <w:spacing w:before="0" w:after="283"/>
              <w:jc w:val="right"/>
              <w:rPr>
                <w:b/>
              </w:rPr>
            </w:pPr>
            <w:r>
              <w:rPr>
                <w:b/>
              </w:rPr>
              <w:t>224,187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16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ind w:left="0" w:right="0" w:hanging="0"/>
              <w:jc w:val="left"/>
              <w:rPr/>
            </w:pPr>
            <w:r>
              <w:rPr/>
              <w:t> </w:t>
            </w:r>
          </w:p>
        </w:tc>
        <w:tc>
          <w:tcPr>
            <w:tcW w:w="1408"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Company’s debt and derivative investments are market yields. Increases in market yields would result in lower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Company’s equity/warrants investments are comparable company multiples of revenue or EBITDA for the latest twelve months (“LTM”), next twelve months (“NTM”) or a reasonable period a market participant would consider. Increases in EBITDA multiples in isolation would result in higher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generally only allowed to employ leverage to the extent that our asset coverage, as defined in the 1940 Act, equals at least 200% after giving effect to such leverage. The amount of leverage that we employ at any time depends on our assessment of the market and other factors at the time of any proposed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March 2018, the Small Business Credit Availability Act (“SBCAA”) modified the 1940 Act by allowing a BDC to increase the maximum amount of leverage it may incur from 200% to 150% of asset coverage, if certain requirements under the 1940 Act are met (“Modified Asset Coverage Requirements”).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On May 4, 2026, the board of directors, including a “required majority” (as such term is defined in Section 57(o) of the 1940 Act) of the board of directors, approved the application of the Modified Asset Coverage Requirements set forth in the 1940 Act. As a result, the asset coverage ratio test applicable to the Company will be decreased from 200% to 150%, effective May 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Company’s asset coverage was 204.3% and 207.8%, respectively, after giving effect to leverage and therefore the Company’s asset coverage was greater than 200%, the minimum asset coverage requirement applicable presently to the Company under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outstanding debt excluding debt issuance costs as of March 31, 2026 and September 30, 2025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2315" w:type="dxa"/>
        <w:jc w:val="left"/>
        <w:tblInd w:w="0" w:type="dxa"/>
        <w:tblLayout w:type="fixed"/>
        <w:tblCellMar>
          <w:top w:w="0" w:type="dxa"/>
          <w:left w:w="0" w:type="dxa"/>
          <w:bottom w:w="0" w:type="dxa"/>
          <w:right w:w="0" w:type="dxa"/>
        </w:tblCellMar>
      </w:tblPr>
      <w:tblGrid>
        <w:gridCol w:w="1670"/>
        <w:gridCol w:w="90"/>
        <w:gridCol w:w="170"/>
        <w:gridCol w:w="890"/>
        <w:gridCol w:w="90"/>
        <w:gridCol w:w="90"/>
        <w:gridCol w:w="222"/>
        <w:gridCol w:w="1088"/>
        <w:gridCol w:w="90"/>
        <w:gridCol w:w="90"/>
        <w:gridCol w:w="170"/>
        <w:gridCol w:w="830"/>
        <w:gridCol w:w="90"/>
        <w:gridCol w:w="90"/>
        <w:gridCol w:w="170"/>
        <w:gridCol w:w="830"/>
        <w:gridCol w:w="90"/>
        <w:gridCol w:w="90"/>
        <w:gridCol w:w="170"/>
        <w:gridCol w:w="1310"/>
        <w:gridCol w:w="90"/>
        <w:gridCol w:w="90"/>
        <w:gridCol w:w="222"/>
        <w:gridCol w:w="1088"/>
        <w:gridCol w:w="90"/>
        <w:gridCol w:w="90"/>
        <w:gridCol w:w="170"/>
        <w:gridCol w:w="830"/>
        <w:gridCol w:w="90"/>
        <w:gridCol w:w="90"/>
        <w:gridCol w:w="170"/>
        <w:gridCol w:w="830"/>
        <w:gridCol w:w="135"/>
      </w:tblGrid>
      <w:tr>
        <w:trPr/>
        <w:tc>
          <w:tcPr>
            <w:tcW w:w="16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491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Principal</w:t>
              <w:br/>
              <w:t>Available</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 Amount 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w:t>
              <w:br/>
              <w:t>Principal</w:t>
              <w:br/>
              <w:t xml:space="preserve">Available </w:t>
            </w:r>
            <w:r>
              <w:rPr>
                <w:rFonts w:ascii="Times New Roman;Times;Serif" w:hAnsi="Times New Roman;Times;Serif"/>
                <w:b/>
                <w:position w:val="7"/>
                <w:sz w:val="16"/>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Principal</w:t>
              <w:br/>
              <w:t>Amount</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2028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   </w:t>
            </w: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56,635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54,556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          </w:t>
            </w: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57,500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56,477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55,154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vAlign w:val="center"/>
          </w:tcPr>
          <w:p>
            <w:pPr>
              <w:pStyle w:val="TableContents"/>
              <w:bidi w:val="0"/>
              <w:spacing w:before="0" w:after="283"/>
              <w:jc w:val="left"/>
              <w:rPr/>
            </w:pPr>
            <w:r>
              <w:rPr/>
              <w:t>2028 Promissory Note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1,661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right"/>
              <w:rPr/>
            </w:pPr>
            <w:r>
              <w:rPr/>
              <w:t>1,661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1,594</w:t>
            </w:r>
          </w:p>
        </w:tc>
        <w:tc>
          <w:tcPr>
            <w:tcW w:w="135" w:type="dxa"/>
            <w:tcBorders/>
            <w:vAlign w:val="center"/>
          </w:tcPr>
          <w:p>
            <w:pPr>
              <w:pStyle w:val="TableContents"/>
              <w:bidi w:val="0"/>
              <w:spacing w:before="0" w:after="283"/>
              <w:ind w:left="0" w:right="0" w:hanging="180"/>
              <w:jc w:val="left"/>
              <w:rPr/>
            </w:pPr>
            <w:r>
              <w:rPr/>
              <w:t> </w:t>
            </w:r>
          </w:p>
        </w:tc>
      </w:tr>
      <w:tr>
        <w:trPr/>
        <w:tc>
          <w:tcPr>
            <w:tcW w:w="1670" w:type="dxa"/>
            <w:tcBorders/>
            <w:shd w:fill="CCEEFF" w:val="clear"/>
            <w:vAlign w:val="center"/>
          </w:tcPr>
          <w:p>
            <w:pPr>
              <w:pStyle w:val="TableContents"/>
              <w:bidi w:val="0"/>
              <w:spacing w:before="0" w:after="283"/>
              <w:jc w:val="left"/>
              <w:rPr/>
            </w:pPr>
            <w:r>
              <w:rPr/>
              <w:t>Revolving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10,008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283"/>
              <w:jc w:val="right"/>
              <w:rPr/>
            </w:pPr>
            <w:r>
              <w:rPr/>
              <w:t>10,008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8"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89,992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670" w:type="dxa"/>
            <w:tcBorders/>
            <w:vAlign w:val="center"/>
          </w:tcPr>
          <w:p>
            <w:pPr>
              <w:pStyle w:val="TableContents"/>
              <w:bidi w:val="0"/>
              <w:spacing w:before="0" w:after="283"/>
              <w:jc w:val="left"/>
              <w:rPr>
                <w:b/>
              </w:rPr>
            </w:pPr>
            <w:r>
              <w:rPr>
                <w:b/>
              </w:rPr>
              <w:t>Total debt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90" w:type="dxa"/>
            <w:tcBorders>
              <w:bottom w:val="double" w:sz="10" w:space="0" w:color="000000"/>
            </w:tcBorders>
            <w:tcMar>
              <w:bottom w:w="28" w:type="dxa"/>
            </w:tcMar>
            <w:vAlign w:val="center"/>
          </w:tcPr>
          <w:p>
            <w:pPr>
              <w:pStyle w:val="TableContents"/>
              <w:bidi w:val="0"/>
              <w:spacing w:before="0" w:after="283"/>
              <w:jc w:val="right"/>
              <w:rPr/>
            </w:pPr>
            <w:r>
              <w:rPr/>
              <w:t>67,508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147,492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146,627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144,548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310" w:type="dxa"/>
            <w:tcBorders>
              <w:bottom w:val="double" w:sz="10" w:space="0" w:color="000000"/>
            </w:tcBorders>
            <w:tcMar>
              <w:bottom w:w="28" w:type="dxa"/>
            </w:tcMar>
            <w:vAlign w:val="center"/>
          </w:tcPr>
          <w:p>
            <w:pPr>
              <w:pStyle w:val="TableContents"/>
              <w:bidi w:val="0"/>
              <w:spacing w:before="0" w:after="283"/>
              <w:jc w:val="right"/>
              <w:rPr/>
            </w:pPr>
            <w:r>
              <w:rPr/>
              <w:t>69,169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 w:type="dxa"/>
            <w:tcBorders>
              <w:bottom w:val="double" w:sz="10" w:space="0" w:color="000000"/>
            </w:tcBorders>
            <w:tcMar>
              <w:bottom w:w="28" w:type="dxa"/>
            </w:tcMar>
            <w:vAlign w:val="center"/>
          </w:tcPr>
          <w:p>
            <w:pPr>
              <w:pStyle w:val="TableContents"/>
              <w:bidi w:val="0"/>
              <w:spacing w:before="0" w:after="283"/>
              <w:jc w:val="left"/>
              <w:rPr/>
            </w:pPr>
            <w:r>
              <w:rPr/>
              <w:t>$</w:t>
            </w:r>
          </w:p>
        </w:tc>
        <w:tc>
          <w:tcPr>
            <w:tcW w:w="1088" w:type="dxa"/>
            <w:tcBorders>
              <w:bottom w:val="double" w:sz="10" w:space="0" w:color="000000"/>
            </w:tcBorders>
            <w:tcMar>
              <w:bottom w:w="28" w:type="dxa"/>
            </w:tcMar>
            <w:vAlign w:val="center"/>
          </w:tcPr>
          <w:p>
            <w:pPr>
              <w:pStyle w:val="TableContents"/>
              <w:bidi w:val="0"/>
              <w:spacing w:before="0" w:after="283"/>
              <w:jc w:val="right"/>
              <w:rPr/>
            </w:pPr>
            <w:r>
              <w:rPr/>
              <w:t>149,153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148,012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146,740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2028 Notes and 2028 Promissory Note, this represents the total principal amount and for the Revolving Credit Facility, this represents the undrawn principal amount.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Company entered into a 3 year $50.0 million revolving credit facility (the “Credit Facility”) with Woodforest National Bank (“Woodforest”). Woodforest was the administrative agent, sole bookrunner and sole lead arranger. The Credit Facility had an original maturity date of December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17, 2023, the Company borrowed $23.2 million under the Credit Facility and used these proceeds to redeem $22.6 million in aggregate principal amount of the issued and outstanding 2023 Notes, comprising all issued and outstanding 2023 Notes. The 2023 Notes were redeemed at 100% of their principal amount, plus accrued and unpaid interest thereon from September 30, 2022 through, but excluding January 17, 2023 (the “Redemption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“First Amendment Effective Date”), in order to increase the size of the Credit Facility, the parties to the Credit Facility amended the terms of the Credit Facility, effective as of the First Amendment Effective Date (the “First Amendment”). The First Amendment increased the principal amount of loan available under the Credit Facility by $12.5 million to $62.5 million. All other material terms of the Credit Facility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loan available under the Credit Facility by $25 million to $87.5 million. All other material terms of the Credit Facility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 million pursuant to an uncommitted accordion provision) and appointed BankUnited, N.A. to assume all agency and syndication responsibilities from the prior agent and lenders. Outstanding loans under the terms of the Amendment bear a monthly interest rate ranging from ABR + 1.35% to ABR + 1.75% for any alternative base rate loans and from Term SOFR + 2.35% to Term SOFR + 2.75% for any term benchmark loans based on the total debt to tangible net worth ratio. The Amendment also extended the term of the credit facility to April 17, 2030, five years from the Third Amendment Effective Date. Other material terms remain substantially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5. Borrowings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Credit Facility, the Company is required to comply with various covenants, reporting requirements and other customary requirements for similar revolving credit facilities, including, without limitation, covenants related to: (a) limitations on the incurrence of additional indebtedness and liens, (b) limitations on certain investments, (c) limitations on certain restricted payments, (d) maintaining a certain minimum stockholders’ equity, (e) maintaining a ratio of total assets to total indebtedness of the Company and its consolidated subsidiaries (subject to certain exceptions) of not less than 2.0:1.0, (f) limitations on pledging certain unencumbered assets, and (g) limitations on the creation or existence of agreements that prohibit liens on certain properties of the Company and certain of its subsidiaries. These covenants are subject to important limitations and exceptions that are described in the documents governing the Credit Facility. Amounts available to borrow under the Credit Facility (and the incurrence of certain other permitted debt) are also subject to compliance with a borrowing base that applies different advance rates to different types of assets (based on their value as determined pursuant to the Credit Facility) that are pledged as collateral..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there was $90.0 million and $90.0 million outstanding, respectively,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Credit Facility bear a monthly interest rate at Term SOFR + 2.50%. The Company is also subject to a commitment fee of 0.25%, which shall accrue on the actual daily amount of the undrawn portion of the revolving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Unsecured Notes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entered into an underwriting agreement, by and between the Company and Oppenheimer &amp; Co. Inc., as representative of the several underwriters, in connection with the issuance and sale (the “Offering”) of $57,500,000 (including the underwriters’ option to purchase up to $7,500,000 aggregate principal amount) in aggregate principal amount of its 5.25% Notes that mature on November 1, 2028 (the “2028 Notes” or the “Notes”). The Offering occurred on November 15, 2021, pursuant to the Company’s effective shelf registration statement on Form N-2 previously filed with the SEC. Effective November 16, 2021, the 2028 Notes began trading on the NASDAQ Global Market under the trading symbol “PFXNZ.”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the Company and U.S. Bank National Association, as trustee, entered into a Fourth Supplemental Indenture to its base Indenture, dated February 7, 2012, between the Company and the Trustee. The Fourth Supplemental Indenture relates to the Offering of the 2028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2024, the Company issued a 5.25% note due November 1, 2028 in the principal amount of $1,661,498 to National Security Insurance Company (the “2028 Promissory Note”). The financial terms of the note are substantially the same as the 2028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 redeemed in aggregate its principal amount of the issued and outstanding 2028 Promissory Note, comprising all issued and outstanding 2028 Promissory Notes, at a price equal to the closing market price of the 2028 Notes on December 5, 2025, plus accrued and unpaid interest thereon from November 1, 2025, through, but excluding, December 8, 2025 in accordance with the terms of the indenture governing the 2028 Promissory Note. The redemption was completed on December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Debt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our debt obligations are determined in accordance with ASC 820, which defines fair value in terms of the price that would be paid to transfer a liability in an orderly transaction between market participants at the measurement date under current market conditions. The fair value of the 2028 Notes, which are publicly traded, is based upon closing market quotes as of the measurement date. As of March 31, 2026 and September 30, 2025, the Notes are deemed to be Level 1 in the fair value hierarchy, as defined in Note 4. As of March 31, 2026 and September 30, 2025, the Credit Facility is deemed to be Level 3 in the fair value hierarchy, as defined in Note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related to the 2028 Notes are reported on the Consolidated Statements of Assets and Liabilities as a direct deduction from the face amount of the 2028 Notes. As of March 31, 2026 and September 30, 2025, debt issuance costs related to the 2028 Notes were as follows (dollars in thousands):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30"/>
        <w:gridCol w:w="90"/>
        <w:gridCol w:w="170"/>
        <w:gridCol w:w="590"/>
        <w:gridCol w:w="90"/>
        <w:gridCol w:w="90"/>
        <w:gridCol w:w="217"/>
        <w:gridCol w:w="988"/>
        <w:gridCol w:w="90"/>
        <w:gridCol w:w="90"/>
        <w:gridCol w:w="170"/>
        <w:gridCol w:w="590"/>
        <w:gridCol w:w="90"/>
        <w:gridCol w:w="90"/>
        <w:gridCol w:w="170"/>
        <w:gridCol w:w="590"/>
        <w:gridCol w:w="90"/>
        <w:gridCol w:w="90"/>
        <w:gridCol w:w="217"/>
        <w:gridCol w:w="988"/>
        <w:gridCol w:w="90"/>
        <w:gridCol w:w="90"/>
        <w:gridCol w:w="170"/>
        <w:gridCol w:w="590"/>
        <w:gridCol w:w="135"/>
      </w:tblGrid>
      <w:tr>
        <w:trPr/>
        <w:tc>
          <w:tcPr>
            <w:tcW w:w="363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085" w:type="dxa"/>
            <w:gridSpan w:val="10"/>
            <w:tcBorders/>
            <w:vAlign w:val="center"/>
          </w:tcPr>
          <w:p>
            <w:pPr>
              <w:pStyle w:val="TableContents"/>
              <w:bidi w:val="0"/>
              <w:spacing w:before="0" w:after="283"/>
              <w:jc w:val="center"/>
              <w:rPr>
                <w:b/>
              </w:rPr>
            </w:pPr>
            <w:r>
              <w:rPr>
                <w:b/>
              </w:rPr>
              <w:t>For the six months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5" w:type="dxa"/>
            <w:gridSpan w:val="10"/>
            <w:tcBorders/>
            <w:vAlign w:val="center"/>
          </w:tcPr>
          <w:p>
            <w:pPr>
              <w:pStyle w:val="TableContents"/>
              <w:bidi w:val="0"/>
              <w:spacing w:before="0" w:after="283"/>
              <w:jc w:val="center"/>
              <w:rPr>
                <w:b/>
              </w:rPr>
            </w:pPr>
            <w:r>
              <w:rPr>
                <w:b/>
              </w:rPr>
              <w:t>For the year ended</w:t>
            </w:r>
          </w:p>
        </w:tc>
        <w:tc>
          <w:tcPr>
            <w:tcW w:w="135" w:type="dxa"/>
            <w:tcBorders/>
            <w:vAlign w:val="center"/>
          </w:tcPr>
          <w:p>
            <w:pPr>
              <w:pStyle w:val="TableContents"/>
              <w:bidi w:val="0"/>
              <w:spacing w:before="0" w:after="283"/>
              <w:ind w:left="0" w:right="0" w:hanging="180"/>
              <w:jc w:val="left"/>
              <w:rPr/>
            </w:pPr>
            <w:r>
              <w:rPr/>
              <w:t> </w:t>
            </w:r>
          </w:p>
        </w:tc>
      </w:tr>
      <w:tr>
        <w:trPr/>
        <w:tc>
          <w:tcPr>
            <w:tcW w:w="3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5" w:type="dxa"/>
            <w:tcBorders/>
            <w:vAlign w:val="center"/>
          </w:tcPr>
          <w:p>
            <w:pPr>
              <w:pStyle w:val="TableContents"/>
              <w:bidi w:val="0"/>
              <w:spacing w:before="0" w:after="283"/>
              <w:ind w:left="0" w:right="0" w:hanging="180"/>
              <w:jc w:val="left"/>
              <w:rPr/>
            </w:pPr>
            <w:r>
              <w:rPr/>
              <w:t> </w:t>
            </w:r>
          </w:p>
        </w:tc>
      </w:tr>
      <w:tr>
        <w:trPr/>
        <w:tc>
          <w:tcPr>
            <w:tcW w:w="3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2028 </w:t>
              <w:b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br/>
              <w:t>Promissory</w:t>
              <w:b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2028 </w:t>
              <w:br/>
              <w:t>Notes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br/>
              <w:t>Promissory</w:t>
              <w:b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3630" w:type="dxa"/>
            <w:tcBorders/>
            <w:shd w:fill="CCEEFF" w:val="clear"/>
            <w:vAlign w:val="center"/>
          </w:tcPr>
          <w:p>
            <w:pPr>
              <w:pStyle w:val="TableContents"/>
              <w:bidi w:val="0"/>
              <w:spacing w:before="0" w:after="283"/>
              <w:jc w:val="left"/>
              <w:rPr/>
            </w:pPr>
            <w:r>
              <w:rPr/>
              <w:t>Total debt issuance costs at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      </w:t>
            </w:r>
            <w:r>
              <w:rPr/>
              <w:t>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1,357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      </w:t>
            </w:r>
            <w:r>
              <w:rPr/>
              <w:t>154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1,511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30" w:type="dxa"/>
            <w:tcBorders/>
            <w:vAlign w:val="center"/>
          </w:tcPr>
          <w:p>
            <w:pPr>
              <w:pStyle w:val="TableContents"/>
              <w:bidi w:val="0"/>
              <w:spacing w:before="0" w:after="283"/>
              <w:jc w:val="left"/>
              <w:rPr/>
            </w:pPr>
            <w:r>
              <w:rPr/>
              <w:t>Debt issuance costs during the period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3630" w:type="dxa"/>
            <w:tcBorders/>
            <w:shd w:fill="CCEEFF" w:val="clear"/>
            <w:vAlign w:val="center"/>
          </w:tcPr>
          <w:p>
            <w:pPr>
              <w:pStyle w:val="TableContents"/>
              <w:bidi w:val="0"/>
              <w:spacing w:before="0" w:after="283"/>
              <w:jc w:val="left"/>
              <w:rPr/>
            </w:pPr>
            <w:r>
              <w:rPr/>
              <w:t>Amortized debt issuance costs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370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630" w:type="dxa"/>
            <w:tcBorders/>
            <w:vAlign w:val="center"/>
          </w:tcPr>
          <w:p>
            <w:pPr>
              <w:pStyle w:val="TableContents"/>
              <w:bidi w:val="0"/>
              <w:spacing w:before="0" w:after="283"/>
              <w:jc w:val="left"/>
              <w:rPr/>
            </w:pPr>
            <w:r>
              <w:rPr/>
              <w:t>Unamortized debt issuance costs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864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double" w:sz="10" w:space="0" w:color="000000"/>
            </w:tcBorders>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864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double" w:sz="10" w:space="0" w:color="000000"/>
            </w:tcBorders>
            <w:tcMar>
              <w:bottom w:w="28" w:type="dxa"/>
            </w:tcMar>
            <w:vAlign w:val="center"/>
          </w:tcPr>
          <w:p>
            <w:pPr>
              <w:pStyle w:val="TableContents"/>
              <w:bidi w:val="0"/>
              <w:spacing w:before="0" w:after="283"/>
              <w:jc w:val="left"/>
              <w:rPr/>
            </w:pPr>
            <w:r>
              <w:rPr/>
              <w:t>$</w:t>
            </w:r>
          </w:p>
        </w:tc>
        <w:tc>
          <w:tcPr>
            <w:tcW w:w="988" w:type="dxa"/>
            <w:tcBorders>
              <w:bottom w:val="double" w:sz="10" w:space="0" w:color="000000"/>
            </w:tcBorders>
            <w:tcMar>
              <w:bottom w:w="28" w:type="dxa"/>
            </w:tcMar>
            <w:vAlign w:val="center"/>
          </w:tcPr>
          <w:p>
            <w:pPr>
              <w:pStyle w:val="TableContents"/>
              <w:bidi w:val="0"/>
              <w:spacing w:before="0" w:after="283"/>
              <w:jc w:val="right"/>
              <w:rPr/>
            </w:pPr>
            <w:r>
              <w:rPr/>
              <w:t>118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1,141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5. Borrowings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March 31, 2026 and 2025, the components of interest expense, amortized debt issuance costs, amortized deferred financing costs, weighted average stated interest rate and weighted average outstanding debt balance for the 2028 Notes, 2028 Promissory Note and Credit Facility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3"/>
        <w:gridCol w:w="90"/>
        <w:gridCol w:w="248"/>
        <w:gridCol w:w="1214"/>
        <w:gridCol w:w="358"/>
        <w:gridCol w:w="131"/>
        <w:gridCol w:w="248"/>
        <w:gridCol w:w="1214"/>
        <w:gridCol w:w="245"/>
        <w:gridCol w:w="90"/>
        <w:gridCol w:w="235"/>
        <w:gridCol w:w="1151"/>
        <w:gridCol w:w="340"/>
        <w:gridCol w:w="124"/>
        <w:gridCol w:w="235"/>
        <w:gridCol w:w="1151"/>
        <w:gridCol w:w="298"/>
      </w:tblGrid>
      <w:tr>
        <w:trPr/>
        <w:tc>
          <w:tcPr>
            <w:tcW w:w="28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March 31,</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March 31,</w:t>
            </w:r>
          </w:p>
        </w:tc>
        <w:tc>
          <w:tcPr>
            <w:tcW w:w="298" w:type="dxa"/>
            <w:tcBorders/>
            <w:vAlign w:val="center"/>
          </w:tcPr>
          <w:p>
            <w:pPr>
              <w:pStyle w:val="TableContents"/>
              <w:bidi w:val="0"/>
              <w:spacing w:before="0" w:after="283"/>
              <w:jc w:val="left"/>
              <w:rPr/>
            </w:pPr>
            <w:r>
              <w:rPr/>
              <w:t> </w:t>
            </w:r>
          </w:p>
        </w:tc>
      </w:tr>
      <w:tr>
        <w:trPr/>
        <w:tc>
          <w:tcPr>
            <w:tcW w:w="28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8" w:type="dxa"/>
            <w:tcBorders/>
            <w:vAlign w:val="center"/>
          </w:tcPr>
          <w:p>
            <w:pPr>
              <w:pStyle w:val="TableContents"/>
              <w:bidi w:val="0"/>
              <w:spacing w:before="0" w:after="283"/>
              <w:ind w:left="0" w:right="0" w:hanging="0"/>
              <w:jc w:val="left"/>
              <w:rPr/>
            </w:pPr>
            <w:r>
              <w:rPr/>
              <w:t> </w:t>
            </w:r>
          </w:p>
        </w:tc>
      </w:tr>
      <w:tr>
        <w:trPr/>
        <w:tc>
          <w:tcPr>
            <w:tcW w:w="2833" w:type="dxa"/>
            <w:tcBorders/>
            <w:shd w:fill="CCEEFF" w:val="clear"/>
            <w:vAlign w:val="center"/>
          </w:tcPr>
          <w:p>
            <w:pPr>
              <w:pStyle w:val="TableContents"/>
              <w:bidi w:val="0"/>
              <w:spacing w:before="0" w:after="283"/>
              <w:jc w:val="left"/>
              <w:rPr/>
            </w:pPr>
            <w:r>
              <w:rPr/>
              <w:t>2028 Notes Interest</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754</w:t>
            </w:r>
          </w:p>
        </w:tc>
        <w:tc>
          <w:tcPr>
            <w:tcW w:w="35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763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1,509</w:t>
            </w:r>
          </w:p>
        </w:tc>
        <w:tc>
          <w:tcPr>
            <w:tcW w:w="34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1,510</w:t>
            </w:r>
          </w:p>
        </w:tc>
        <w:tc>
          <w:tcPr>
            <w:tcW w:w="298" w:type="dxa"/>
            <w:tcBorders/>
            <w:shd w:fill="CCEEFF" w:val="clear"/>
            <w:vAlign w:val="center"/>
          </w:tcPr>
          <w:p>
            <w:pPr>
              <w:pStyle w:val="TableContents"/>
              <w:bidi w:val="0"/>
              <w:spacing w:before="0" w:after="283"/>
              <w:ind w:left="0" w:right="0" w:hanging="0"/>
              <w:jc w:val="left"/>
              <w:rPr/>
            </w:pPr>
            <w:r>
              <w:rPr/>
              <w:t> </w:t>
            </w:r>
          </w:p>
        </w:tc>
      </w:tr>
      <w:tr>
        <w:trPr/>
        <w:tc>
          <w:tcPr>
            <w:tcW w:w="2833" w:type="dxa"/>
            <w:tcBorders/>
            <w:vAlign w:val="center"/>
          </w:tcPr>
          <w:p>
            <w:pPr>
              <w:pStyle w:val="TableContents"/>
              <w:bidi w:val="0"/>
              <w:spacing w:before="0" w:after="283"/>
              <w:jc w:val="left"/>
              <w:rPr/>
            </w:pPr>
            <w:r>
              <w:rPr/>
              <w:t>2028 Promissory Note Interest</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0"/>
              <w:jc w:val="right"/>
              <w:rPr/>
            </w:pPr>
            <w:r>
              <w:rPr/>
              <w:t>-</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16</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44</w:t>
            </w:r>
          </w:p>
        </w:tc>
        <w:tc>
          <w:tcPr>
            <w:tcW w:w="298" w:type="dxa"/>
            <w:tcBorders/>
            <w:vAlign w:val="center"/>
          </w:tcPr>
          <w:p>
            <w:pPr>
              <w:pStyle w:val="TableContents"/>
              <w:bidi w:val="0"/>
              <w:spacing w:before="0" w:after="283"/>
              <w:ind w:left="0" w:right="0" w:hanging="0"/>
              <w:jc w:val="left"/>
              <w:rPr/>
            </w:pPr>
            <w:r>
              <w:rPr/>
              <w:t> </w:t>
            </w:r>
          </w:p>
        </w:tc>
      </w:tr>
      <w:tr>
        <w:trPr/>
        <w:tc>
          <w:tcPr>
            <w:tcW w:w="2833" w:type="dxa"/>
            <w:tcBorders/>
            <w:shd w:fill="CCEEFF" w:val="clear"/>
            <w:vAlign w:val="center"/>
          </w:tcPr>
          <w:p>
            <w:pPr>
              <w:pStyle w:val="TableContents"/>
              <w:bidi w:val="0"/>
              <w:spacing w:before="0" w:after="283"/>
              <w:jc w:val="left"/>
              <w:rPr/>
            </w:pPr>
            <w:r>
              <w:rPr/>
              <w:t>Credit facility interest</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1,391</w:t>
            </w:r>
          </w:p>
        </w:tc>
        <w:tc>
          <w:tcPr>
            <w:tcW w:w="35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1,493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2,885</w:t>
            </w:r>
          </w:p>
        </w:tc>
        <w:tc>
          <w:tcPr>
            <w:tcW w:w="34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2,994</w:t>
            </w:r>
          </w:p>
        </w:tc>
        <w:tc>
          <w:tcPr>
            <w:tcW w:w="298" w:type="dxa"/>
            <w:tcBorders/>
            <w:shd w:fill="CCEEFF" w:val="clear"/>
            <w:vAlign w:val="center"/>
          </w:tcPr>
          <w:p>
            <w:pPr>
              <w:pStyle w:val="TableContents"/>
              <w:bidi w:val="0"/>
              <w:spacing w:before="0" w:after="283"/>
              <w:ind w:left="0" w:right="0" w:hanging="0"/>
              <w:jc w:val="left"/>
              <w:rPr/>
            </w:pPr>
            <w:r>
              <w:rPr/>
              <w:t> </w:t>
            </w:r>
          </w:p>
        </w:tc>
      </w:tr>
      <w:tr>
        <w:trPr/>
        <w:tc>
          <w:tcPr>
            <w:tcW w:w="2833" w:type="dxa"/>
            <w:tcBorders/>
            <w:vAlign w:val="center"/>
          </w:tcPr>
          <w:p>
            <w:pPr>
              <w:pStyle w:val="TableContents"/>
              <w:bidi w:val="0"/>
              <w:spacing w:before="0" w:after="283"/>
              <w:jc w:val="left"/>
              <w:rPr/>
            </w:pPr>
            <w:r>
              <w:rPr/>
              <w:t>Commitment fees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7</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13</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9</w:t>
            </w:r>
          </w:p>
        </w:tc>
        <w:tc>
          <w:tcPr>
            <w:tcW w:w="298" w:type="dxa"/>
            <w:tcBorders/>
            <w:vAlign w:val="center"/>
          </w:tcPr>
          <w:p>
            <w:pPr>
              <w:pStyle w:val="TableContents"/>
              <w:bidi w:val="0"/>
              <w:spacing w:before="0" w:after="283"/>
              <w:ind w:left="0" w:right="0" w:hanging="0"/>
              <w:jc w:val="left"/>
              <w:rPr/>
            </w:pPr>
            <w:r>
              <w:rPr/>
              <w:t> </w:t>
            </w:r>
          </w:p>
        </w:tc>
      </w:tr>
      <w:tr>
        <w:trPr/>
        <w:tc>
          <w:tcPr>
            <w:tcW w:w="2833" w:type="dxa"/>
            <w:tcBorders/>
            <w:shd w:fill="CCEEFF" w:val="clear"/>
            <w:vAlign w:val="center"/>
          </w:tcPr>
          <w:p>
            <w:pPr>
              <w:pStyle w:val="TableContents"/>
              <w:bidi w:val="0"/>
              <w:spacing w:before="0" w:after="283"/>
              <w:jc w:val="left"/>
              <w:rPr/>
            </w:pPr>
            <w:r>
              <w:rPr/>
              <w:t>Amortization of deferred financing costs</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75</w:t>
            </w:r>
          </w:p>
        </w:tc>
        <w:tc>
          <w:tcPr>
            <w:tcW w:w="35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207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152</w:t>
            </w:r>
          </w:p>
        </w:tc>
        <w:tc>
          <w:tcPr>
            <w:tcW w:w="34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384</w:t>
            </w:r>
          </w:p>
        </w:tc>
        <w:tc>
          <w:tcPr>
            <w:tcW w:w="298" w:type="dxa"/>
            <w:tcBorders/>
            <w:shd w:fill="CCEEFF" w:val="clear"/>
            <w:vAlign w:val="center"/>
          </w:tcPr>
          <w:p>
            <w:pPr>
              <w:pStyle w:val="TableContents"/>
              <w:bidi w:val="0"/>
              <w:spacing w:before="0" w:after="283"/>
              <w:ind w:left="0" w:right="0" w:hanging="0"/>
              <w:jc w:val="left"/>
              <w:rPr/>
            </w:pPr>
            <w:r>
              <w:rPr/>
              <w:t> </w:t>
            </w:r>
          </w:p>
        </w:tc>
      </w:tr>
      <w:tr>
        <w:trPr/>
        <w:tc>
          <w:tcPr>
            <w:tcW w:w="2833" w:type="dxa"/>
            <w:tcBorders/>
            <w:vAlign w:val="center"/>
          </w:tcPr>
          <w:p>
            <w:pPr>
              <w:pStyle w:val="TableContents"/>
              <w:bidi w:val="0"/>
              <w:spacing w:before="0" w:after="283"/>
              <w:jc w:val="left"/>
              <w:rPr/>
            </w:pPr>
            <w:r>
              <w:rPr/>
              <w:t>Amortization of debt issuance costs</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82</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92</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166</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184</w:t>
            </w:r>
          </w:p>
        </w:tc>
        <w:tc>
          <w:tcPr>
            <w:tcW w:w="298" w:type="dxa"/>
            <w:tcBorders/>
            <w:vAlign w:val="center"/>
          </w:tcPr>
          <w:p>
            <w:pPr>
              <w:pStyle w:val="TableContents"/>
              <w:bidi w:val="0"/>
              <w:spacing w:before="0" w:after="283"/>
              <w:ind w:left="0" w:right="0" w:hanging="0"/>
              <w:jc w:val="left"/>
              <w:rPr/>
            </w:pPr>
            <w:r>
              <w:rPr/>
              <w:t> </w:t>
            </w:r>
          </w:p>
        </w:tc>
      </w:tr>
      <w:tr>
        <w:trPr/>
        <w:tc>
          <w:tcPr>
            <w:tcW w:w="2833"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358"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34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98" w:type="dxa"/>
            <w:tcBorders/>
            <w:shd w:fill="CCEEFF" w:val="clear"/>
            <w:vAlign w:val="center"/>
          </w:tcPr>
          <w:p>
            <w:pPr>
              <w:pStyle w:val="TableContents"/>
              <w:bidi w:val="0"/>
              <w:spacing w:before="0" w:after="283"/>
              <w:ind w:left="0" w:right="0" w:hanging="0"/>
              <w:jc w:val="left"/>
              <w:rPr/>
            </w:pPr>
            <w:r>
              <w:rPr/>
              <w:t> </w:t>
            </w:r>
          </w:p>
        </w:tc>
      </w:tr>
      <w:tr>
        <w:trPr/>
        <w:tc>
          <w:tcPr>
            <w:tcW w:w="2833"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48"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2,309</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bottom w:val="double" w:sz="10" w:space="0" w:color="000000"/>
            </w:tcBorders>
            <w:tcMar>
              <w:bottom w:w="28" w:type="dxa"/>
            </w:tcMar>
            <w:vAlign w:val="center"/>
          </w:tcPr>
          <w:p>
            <w:pPr>
              <w:pStyle w:val="TableContents"/>
              <w:bidi w:val="0"/>
              <w:spacing w:before="0" w:after="283"/>
              <w:jc w:val="left"/>
              <w:rPr/>
            </w:pPr>
            <w:r>
              <w:rPr/>
              <w:t>$</w:t>
            </w:r>
          </w:p>
        </w:tc>
        <w:tc>
          <w:tcPr>
            <w:tcW w:w="1214" w:type="dxa"/>
            <w:tcBorders>
              <w:bottom w:val="double" w:sz="10" w:space="0" w:color="000000"/>
            </w:tcBorders>
            <w:tcMar>
              <w:bottom w:w="28" w:type="dxa"/>
            </w:tcMar>
            <w:vAlign w:val="center"/>
          </w:tcPr>
          <w:p>
            <w:pPr>
              <w:pStyle w:val="TableContents"/>
              <w:bidi w:val="0"/>
              <w:spacing w:before="0" w:after="283"/>
              <w:jc w:val="right"/>
              <w:rPr/>
            </w:pPr>
            <w:r>
              <w:rPr/>
              <w:t>2,579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1151" w:type="dxa"/>
            <w:tcBorders>
              <w:bottom w:val="double" w:sz="10" w:space="0" w:color="000000"/>
            </w:tcBorders>
            <w:tcMar>
              <w:bottom w:w="28" w:type="dxa"/>
            </w:tcMar>
            <w:vAlign w:val="center"/>
          </w:tcPr>
          <w:p>
            <w:pPr>
              <w:pStyle w:val="TableContents"/>
              <w:bidi w:val="0"/>
              <w:spacing w:before="0" w:after="283"/>
              <w:jc w:val="right"/>
              <w:rPr/>
            </w:pPr>
            <w:r>
              <w:rPr/>
              <w:t>4,741</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1151" w:type="dxa"/>
            <w:tcBorders>
              <w:bottom w:val="double" w:sz="10" w:space="0" w:color="000000"/>
            </w:tcBorders>
            <w:tcMar>
              <w:bottom w:w="28" w:type="dxa"/>
            </w:tcMar>
            <w:vAlign w:val="center"/>
          </w:tcPr>
          <w:p>
            <w:pPr>
              <w:pStyle w:val="TableContents"/>
              <w:bidi w:val="0"/>
              <w:spacing w:before="0" w:after="283"/>
              <w:jc w:val="right"/>
              <w:rPr/>
            </w:pPr>
            <w:r>
              <w:rPr/>
              <w:t>5,125</w:t>
            </w:r>
          </w:p>
        </w:tc>
        <w:tc>
          <w:tcPr>
            <w:tcW w:w="298" w:type="dxa"/>
            <w:tcBorders/>
            <w:vAlign w:val="center"/>
          </w:tcPr>
          <w:p>
            <w:pPr>
              <w:pStyle w:val="TableContents"/>
              <w:bidi w:val="0"/>
              <w:spacing w:before="0" w:after="283"/>
              <w:ind w:left="0" w:right="0" w:hanging="0"/>
              <w:jc w:val="left"/>
              <w:rPr/>
            </w:pPr>
            <w:r>
              <w:rPr/>
              <w:t> </w:t>
            </w:r>
          </w:p>
        </w:tc>
      </w:tr>
      <w:tr>
        <w:trPr/>
        <w:tc>
          <w:tcPr>
            <w:tcW w:w="2833" w:type="dxa"/>
            <w:tcBorders/>
            <w:shd w:fill="CCEEFF" w:val="clear"/>
            <w:vAlign w:val="center"/>
          </w:tcPr>
          <w:p>
            <w:pPr>
              <w:pStyle w:val="TableContents"/>
              <w:bidi w:val="0"/>
              <w:spacing w:before="0" w:after="283"/>
              <w:jc w:val="left"/>
              <w:rPr/>
            </w:pPr>
            <w:r>
              <w:rPr/>
              <w:t>Weighted average stated interest rate</w:t>
            </w:r>
          </w:p>
        </w:tc>
        <w:tc>
          <w:tcPr>
            <w:tcW w:w="9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5.9</w:t>
            </w:r>
          </w:p>
        </w:tc>
        <w:tc>
          <w:tcPr>
            <w:tcW w:w="358" w:type="dxa"/>
            <w:tcBorders/>
            <w:shd w:fill="CCEEFF" w:val="clear"/>
            <w:vAlign w:val="center"/>
          </w:tcPr>
          <w:p>
            <w:pPr>
              <w:pStyle w:val="TableContents"/>
              <w:bidi w:val="0"/>
              <w:spacing w:before="0" w:after="283"/>
              <w:jc w:val="left"/>
              <w:rPr/>
            </w:pPr>
            <w:r>
              <w:rPr/>
              <w:t>%</w:t>
            </w:r>
          </w:p>
        </w:tc>
        <w:tc>
          <w:tcPr>
            <w:tcW w:w="131"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6.4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6.0</w:t>
            </w:r>
          </w:p>
        </w:tc>
        <w:tc>
          <w:tcPr>
            <w:tcW w:w="340" w:type="dxa"/>
            <w:tcBorders/>
            <w:shd w:fill="CCEEFF" w:val="clear"/>
            <w:vAlign w:val="center"/>
          </w:tcPr>
          <w:p>
            <w:pPr>
              <w:pStyle w:val="TableContents"/>
              <w:bidi w:val="0"/>
              <w:spacing w:before="0" w:after="283"/>
              <w:jc w:val="left"/>
              <w:rPr/>
            </w:pPr>
            <w:r>
              <w:rPr/>
              <w:t>%</w:t>
            </w:r>
          </w:p>
        </w:tc>
        <w:tc>
          <w:tcPr>
            <w:tcW w:w="12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6.6</w:t>
            </w:r>
          </w:p>
        </w:tc>
        <w:tc>
          <w:tcPr>
            <w:tcW w:w="298" w:type="dxa"/>
            <w:tcBorders/>
            <w:shd w:fill="CCEEFF" w:val="clear"/>
            <w:vAlign w:val="center"/>
          </w:tcPr>
          <w:p>
            <w:pPr>
              <w:pStyle w:val="TableContents"/>
              <w:bidi w:val="0"/>
              <w:spacing w:before="0" w:after="283"/>
              <w:ind w:left="0" w:right="0" w:hanging="0"/>
              <w:jc w:val="left"/>
              <w:rPr/>
            </w:pPr>
            <w:r>
              <w:rPr/>
              <w:t>%</w:t>
            </w:r>
          </w:p>
        </w:tc>
      </w:tr>
      <w:tr>
        <w:trPr/>
        <w:tc>
          <w:tcPr>
            <w:tcW w:w="2833" w:type="dxa"/>
            <w:tcBorders/>
            <w:vAlign w:val="center"/>
          </w:tcPr>
          <w:p>
            <w:pPr>
              <w:pStyle w:val="TableContents"/>
              <w:bidi w:val="0"/>
              <w:spacing w:before="0" w:after="283"/>
              <w:jc w:val="left"/>
              <w:rPr/>
            </w:pPr>
            <w:r>
              <w:rPr/>
              <w:t>Weighted average debt outstanding</w:t>
            </w:r>
          </w:p>
        </w:tc>
        <w:tc>
          <w:tcPr>
            <w:tcW w:w="9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jc w:val="right"/>
              <w:rPr/>
            </w:pPr>
            <w:r>
              <w:rPr/>
              <w:t>147,492</w:t>
            </w:r>
          </w:p>
        </w:tc>
        <w:tc>
          <w:tcPr>
            <w:tcW w:w="358"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w:t>
            </w:r>
          </w:p>
        </w:tc>
        <w:tc>
          <w:tcPr>
            <w:tcW w:w="1214" w:type="dxa"/>
            <w:tcBorders/>
            <w:vAlign w:val="center"/>
          </w:tcPr>
          <w:p>
            <w:pPr>
              <w:pStyle w:val="TableContents"/>
              <w:bidi w:val="0"/>
              <w:spacing w:before="0" w:after="283"/>
              <w:jc w:val="right"/>
              <w:rPr/>
            </w:pPr>
            <w:r>
              <w:rPr/>
              <w:t>142,324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151" w:type="dxa"/>
            <w:tcBorders/>
            <w:vAlign w:val="center"/>
          </w:tcPr>
          <w:p>
            <w:pPr>
              <w:pStyle w:val="TableContents"/>
              <w:bidi w:val="0"/>
              <w:spacing w:before="0" w:after="283"/>
              <w:jc w:val="right"/>
              <w:rPr/>
            </w:pPr>
            <w:r>
              <w:rPr/>
              <w:t>148,112</w:t>
            </w:r>
          </w:p>
        </w:tc>
        <w:tc>
          <w:tcPr>
            <w:tcW w:w="34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1151" w:type="dxa"/>
            <w:tcBorders/>
            <w:vAlign w:val="center"/>
          </w:tcPr>
          <w:p>
            <w:pPr>
              <w:pStyle w:val="TableContents"/>
              <w:bidi w:val="0"/>
              <w:spacing w:before="0" w:after="283"/>
              <w:jc w:val="right"/>
              <w:rPr/>
            </w:pPr>
            <w:r>
              <w:rPr/>
              <w:t>139,254</w:t>
            </w:r>
          </w:p>
        </w:tc>
        <w:tc>
          <w:tcPr>
            <w:tcW w:w="2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SS&amp;C Technologies, Inc. (“SS&amp;C”) serves as the administrator of the Company and provides the Company with fund accounting and financial reporting services pursuant to the services agreement with the Company since August 9, 2022. Effective September 12, 2022, Computershare Trust Company, N.A. (“Computershare”) serves as custodian for the Company pursuant to its Loan Administration and Custodial Agreement with the Company. For the three and six months ended March 31, 2026 we incurred approximately $0.1 million and $0.2 million in administrator expenses, respectively. For the three and six months ended March 31, 2025 we incurred approximately $0.1 million and $0.2 million in administrator expenses,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$0.0 million and $0.0 million was included in “administrator expenses payable” in the accompanying Consolidated Statements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Cash Incentive Plan</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the board of directors of the Company adopted the PhenixFIN 2022 Long-Term Cash Incentive Plan (the “CIP”) pursuant to the recommendation by the Compensation Committee of the board of directors. The CIP provides for performance-based cash awards to key employees of the Company, as approved by the Compensation Committee, based on the achievement of pre-established financial goals for the approved performance period. The performance goals may be expressed as one or a combination of net asset value of the Company, net asset value per share of the Company’s common stock, changes in the market price of shares of the Company’s common stock, individual performance metrics and/or such other goals and objectives the Committee considers relevant in connection with accomplishing the purposes of the CIP.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pursuant to the CIP, the Compensation Committee approved awards for Mr. Lorber and Ms. McMillan for the three-year performance period commencing on October 1, 2022 and ending on September 30, 2025 (the “2023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pursuant to the CIP, the Compensation Committee approved awards for Mr. Lorber and Ms. McMillan for the three-year performance period commencing on October 1, 2023 and ending on September 30, 2026 (the “2024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pursuant to the CIP, the Compensation Committee approved awards for Mr. Lorber and Ms. McMillan for the three-year performance period commencing on October 1, 2024 and ending on September 30, 2027 (the “2025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pursuant to the CIP, the Compensation Committee approved awards for Mr. Lorber and Ms. McMillan for the three-year performance period commencing on October 1, 2025 and ending on September 30, 2028 (the “2026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6. Agreements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Performance Award for each executive officer for the 2023 LTIP Plan, the 2024 LTIP Plan, the 2025 LTIP Plan and the 2026 LTIP Plan is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21"/>
        <w:gridCol w:w="90"/>
        <w:gridCol w:w="212"/>
        <w:gridCol w:w="1041"/>
        <w:gridCol w:w="90"/>
        <w:gridCol w:w="90"/>
        <w:gridCol w:w="212"/>
        <w:gridCol w:w="1041"/>
        <w:gridCol w:w="90"/>
        <w:gridCol w:w="90"/>
        <w:gridCol w:w="190"/>
        <w:gridCol w:w="1133"/>
        <w:gridCol w:w="90"/>
        <w:gridCol w:w="90"/>
        <w:gridCol w:w="185"/>
        <w:gridCol w:w="1101"/>
        <w:gridCol w:w="139"/>
      </w:tblGrid>
      <w:tr>
        <w:trPr/>
        <w:tc>
          <w:tcPr>
            <w:tcW w:w="4321" w:type="dxa"/>
            <w:tcBorders>
              <w:bottom w:val="single" w:sz="12" w:space="0" w:color="000000"/>
            </w:tcBorders>
            <w:vAlign w:val="center"/>
          </w:tcPr>
          <w:p>
            <w:pPr>
              <w:pStyle w:val="TableContents"/>
              <w:bidi w:val="0"/>
              <w:spacing w:before="0" w:after="283"/>
              <w:jc w:val="left"/>
              <w:rPr>
                <w:b/>
              </w:rPr>
            </w:pPr>
            <w:r>
              <w:rPr>
                <w:b/>
              </w:rPr>
              <w:t>Name and Title</w:t>
            </w:r>
          </w:p>
        </w:tc>
        <w:tc>
          <w:tcPr>
            <w:tcW w:w="9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12" w:space="0" w:color="000000"/>
            </w:tcBorders>
            <w:vAlign w:val="center"/>
          </w:tcPr>
          <w:p>
            <w:pPr>
              <w:pStyle w:val="TableContents"/>
              <w:bidi w:val="0"/>
              <w:spacing w:before="0" w:after="283"/>
              <w:jc w:val="center"/>
              <w:rPr>
                <w:b/>
              </w:rPr>
            </w:pPr>
            <w:r>
              <w:rPr>
                <w:b/>
              </w:rPr>
              <w:t xml:space="preserve">2023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3" w:type="dxa"/>
            <w:gridSpan w:val="2"/>
            <w:tcBorders>
              <w:bottom w:val="single" w:sz="12" w:space="0" w:color="000000"/>
            </w:tcBorders>
            <w:vAlign w:val="center"/>
          </w:tcPr>
          <w:p>
            <w:pPr>
              <w:pStyle w:val="TableContents"/>
              <w:bidi w:val="0"/>
              <w:spacing w:before="0" w:after="283"/>
              <w:jc w:val="center"/>
              <w:rPr>
                <w:b/>
              </w:rPr>
            </w:pPr>
            <w:r>
              <w:rPr>
                <w:b/>
              </w:rPr>
              <w:t xml:space="preserve">2024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3" w:type="dxa"/>
            <w:gridSpan w:val="2"/>
            <w:tcBorders>
              <w:bottom w:val="single" w:sz="12" w:space="0" w:color="000000"/>
            </w:tcBorders>
            <w:vAlign w:val="center"/>
          </w:tcPr>
          <w:p>
            <w:pPr>
              <w:pStyle w:val="TableContents"/>
              <w:bidi w:val="0"/>
              <w:spacing w:before="0" w:after="283"/>
              <w:jc w:val="center"/>
              <w:rPr>
                <w:b/>
              </w:rPr>
            </w:pPr>
            <w:r>
              <w:rPr>
                <w:b/>
              </w:rPr>
              <w:t xml:space="preserve">2025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6" w:type="dxa"/>
            <w:gridSpan w:val="2"/>
            <w:tcBorders>
              <w:bottom w:val="single" w:sz="12" w:space="0" w:color="000000"/>
            </w:tcBorders>
            <w:vAlign w:val="center"/>
          </w:tcPr>
          <w:p>
            <w:pPr>
              <w:pStyle w:val="TableContents"/>
              <w:bidi w:val="0"/>
              <w:spacing w:before="0" w:after="283"/>
              <w:jc w:val="center"/>
              <w:rPr>
                <w:b/>
              </w:rPr>
            </w:pPr>
            <w:r>
              <w:rPr>
                <w:b/>
              </w:rPr>
              <w:t xml:space="preserve">2026 LTIP </w:t>
              <w:br/>
              <w:t>Dollar Value</w:t>
              <w:br/>
              <w:t xml:space="preserve">of Target </w:t>
              <w:br/>
              <w:t>Award</w:t>
            </w:r>
          </w:p>
        </w:tc>
        <w:tc>
          <w:tcPr>
            <w:tcW w:w="139" w:type="dxa"/>
            <w:tcBorders/>
            <w:tcMar>
              <w:bottom w:w="0" w:type="dxa"/>
            </w:tcMar>
            <w:vAlign w:val="center"/>
          </w:tcPr>
          <w:p>
            <w:pPr>
              <w:pStyle w:val="TableContents"/>
              <w:bidi w:val="0"/>
              <w:spacing w:before="0" w:after="283"/>
              <w:jc w:val="left"/>
              <w:rPr/>
            </w:pPr>
            <w:r>
              <w:rPr/>
              <w:t> </w:t>
            </w:r>
          </w:p>
        </w:tc>
      </w:tr>
      <w:tr>
        <w:trPr/>
        <w:tc>
          <w:tcPr>
            <w:tcW w:w="4321" w:type="dxa"/>
            <w:tcBorders/>
            <w:shd w:fill="CCEEFF" w:val="clear"/>
            <w:tcMar>
              <w:bottom w:w="0" w:type="dxa"/>
            </w:tcMar>
            <w:vAlign w:val="center"/>
          </w:tcPr>
          <w:p>
            <w:pPr>
              <w:pStyle w:val="TableContents"/>
              <w:bidi w:val="0"/>
              <w:spacing w:before="0" w:after="283"/>
              <w:jc w:val="left"/>
              <w:rPr/>
            </w:pPr>
            <w:r>
              <w:rPr/>
              <w:t>David Lorber, Chairman of the Board and 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041"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041"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133"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1101" w:type="dxa"/>
            <w:tcBorders/>
            <w:shd w:fill="CCEEFF" w:val="clear"/>
            <w:tcMar>
              <w:bottom w:w="0" w:type="dxa"/>
            </w:tcMar>
            <w:vAlign w:val="center"/>
          </w:tcPr>
          <w:p>
            <w:pPr>
              <w:pStyle w:val="TableContents"/>
              <w:bidi w:val="0"/>
              <w:spacing w:before="0" w:after="283"/>
              <w:jc w:val="right"/>
              <w:rPr/>
            </w:pPr>
            <w:r>
              <w:rPr/>
              <w:t>1,000,000</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4321" w:type="dxa"/>
            <w:tcBorders/>
            <w:tcMar>
              <w:bottom w:w="0" w:type="dxa"/>
            </w:tcMar>
            <w:vAlign w:val="center"/>
          </w:tcPr>
          <w:p>
            <w:pPr>
              <w:pStyle w:val="TableContents"/>
              <w:bidi w:val="0"/>
              <w:spacing w:before="0" w:after="283"/>
              <w:jc w:val="left"/>
              <w:rPr/>
            </w:pPr>
            <w:r>
              <w:rPr/>
              <w:t>Ellida McMillan, Chief Financial Officer</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 w:type="dxa"/>
            <w:tcBorders/>
            <w:tcMar>
              <w:bottom w:w="0" w:type="dxa"/>
            </w:tcMar>
            <w:vAlign w:val="center"/>
          </w:tcPr>
          <w:p>
            <w:pPr>
              <w:pStyle w:val="TableContents"/>
              <w:bidi w:val="0"/>
              <w:spacing w:before="0" w:after="283"/>
              <w:jc w:val="left"/>
              <w:rPr/>
            </w:pPr>
            <w:r>
              <w:rPr/>
              <w:t> </w:t>
            </w:r>
          </w:p>
        </w:tc>
        <w:tc>
          <w:tcPr>
            <w:tcW w:w="1133" w:type="dxa"/>
            <w:tcBorders/>
            <w:tcMar>
              <w:bottom w:w="0" w:type="dxa"/>
            </w:tcMar>
            <w:vAlign w:val="center"/>
          </w:tcPr>
          <w:p>
            <w:pPr>
              <w:pStyle w:val="TableContents"/>
              <w:bidi w:val="0"/>
              <w:spacing w:before="0" w:after="283"/>
              <w:jc w:val="right"/>
              <w:rPr/>
            </w:pPr>
            <w:r>
              <w:rPr/>
              <w:t>425,000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101" w:type="dxa"/>
            <w:tcBorders/>
            <w:tcMar>
              <w:bottom w:w="0" w:type="dxa"/>
            </w:tcMar>
            <w:vAlign w:val="center"/>
          </w:tcPr>
          <w:p>
            <w:pPr>
              <w:pStyle w:val="TableContents"/>
              <w:bidi w:val="0"/>
              <w:spacing w:before="0" w:after="283"/>
              <w:jc w:val="right"/>
              <w:rPr/>
            </w:pPr>
            <w:r>
              <w:rPr/>
              <w:t>425,000</w:t>
            </w:r>
          </w:p>
        </w:tc>
        <w:tc>
          <w:tcPr>
            <w:tcW w:w="139"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March 31, 2026, the Company recorded an expense of $66,875 and $133,750, respectively, for these awards. During the three and six months ended March 31, 2025, the Company recorded an expense of $303,848 and $630,168, respectively, for these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contracts with its affiliated portfolio companies, The National Security Group (and certain of its affiliates) and ECC Capital Corporation, pursuant to which the Company (and/or certain of its subsidiaries) provide such affiliated portfolio companies certain services, including managing a portion of their assets. During the three and six months ended March 31, 2026, the Company recognized $0.2 million and $0.3 million of income, respectively, related to these contracts. During the three and six months ended March 31, 2025, the Company recognized $0.2 million and $0.3 million of income, respectively, related to these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from/to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affiliates at March 31, 2026 and September 30, 2025 consists of certain legal and general and administrative expenses paid by the Company on behalf of certain of its affiliates. Due to affiliates at March 31, 2026 and September 30, 2025 consists of certain expenses payable by the Company to certain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Unfunded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we had commitments under loan and financing agreements to fund up to $3.4 million to six portfolio companies and $5.5 million to six portfolio companies, respectively. These commitments are primarily composed of senior secured delayed draw term loans and revolvers, and the determination of their fair value is included in the Consolidated Schedules of Investments. The commitments are generally subject to the borrowers meeting certain criteria such as compliance with covenants and certain operational metrics. The terms of the borrowings and financings subject to commitment are comparable to the terms of other loan and equity securities in our portfolio. The Company maintains adequate liquidity to fund its unfunded commitments. A summary of the composition of the unfunded commitments as of March 31, 2026 and September 30, 2025 is shown in the table below (dollars in thousands):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6"/>
        <w:gridCol w:w="90"/>
        <w:gridCol w:w="247"/>
        <w:gridCol w:w="859"/>
        <w:gridCol w:w="90"/>
        <w:gridCol w:w="90"/>
        <w:gridCol w:w="325"/>
        <w:gridCol w:w="1131"/>
        <w:gridCol w:w="137"/>
      </w:tblGrid>
      <w:tr>
        <w:trPr/>
        <w:tc>
          <w:tcPr>
            <w:tcW w:w="72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137" w:type="dxa"/>
            <w:tcBorders/>
            <w:vAlign w:val="center"/>
          </w:tcPr>
          <w:p>
            <w:pPr>
              <w:pStyle w:val="TableContents"/>
              <w:bidi w:val="0"/>
              <w:spacing w:before="0" w:after="283"/>
              <w:jc w:val="left"/>
              <w:rPr/>
            </w:pPr>
            <w:r>
              <w:rPr/>
              <w:t> </w:t>
            </w:r>
          </w:p>
        </w:tc>
      </w:tr>
      <w:tr>
        <w:trPr/>
        <w:tc>
          <w:tcPr>
            <w:tcW w:w="7236" w:type="dxa"/>
            <w:tcBorders/>
            <w:shd w:fill="CCEEFF" w:val="clear"/>
            <w:vAlign w:val="center"/>
          </w:tcPr>
          <w:p>
            <w:pPr>
              <w:pStyle w:val="TableContents"/>
              <w:bidi w:val="0"/>
              <w:spacing w:before="0" w:after="283"/>
              <w:jc w:val="left"/>
              <w:rPr/>
            </w:pPr>
            <w:r>
              <w:rPr/>
              <w:t>MB Precision Investment Holdings LLC - Senior Secured First Lien Revolver</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859" w:type="dxa"/>
            <w:tcBorders/>
            <w:shd w:fill="CCEEFF" w:val="clear"/>
            <w:vAlign w:val="center"/>
          </w:tcPr>
          <w:p>
            <w:pPr>
              <w:pStyle w:val="TableContents"/>
              <w:bidi w:val="0"/>
              <w:spacing w:before="0" w:after="283"/>
              <w:jc w:val="right"/>
              <w:rPr/>
            </w:pPr>
            <w:r>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85</w:t>
            </w:r>
          </w:p>
        </w:tc>
        <w:tc>
          <w:tcPr>
            <w:tcW w:w="137" w:type="dxa"/>
            <w:tcBorders/>
            <w:shd w:fill="CCEEFF" w:val="clear"/>
            <w:vAlign w:val="center"/>
          </w:tcPr>
          <w:p>
            <w:pPr>
              <w:pStyle w:val="TableContents"/>
              <w:bidi w:val="0"/>
              <w:spacing w:before="0" w:after="283"/>
              <w:jc w:val="left"/>
              <w:rPr/>
            </w:pPr>
            <w:r>
              <w:rPr/>
              <w:t> </w:t>
            </w:r>
          </w:p>
        </w:tc>
      </w:tr>
      <w:tr>
        <w:trPr/>
        <w:tc>
          <w:tcPr>
            <w:tcW w:w="7236" w:type="dxa"/>
            <w:tcBorders/>
            <w:vAlign w:val="center"/>
          </w:tcPr>
          <w:p>
            <w:pPr>
              <w:pStyle w:val="TableContents"/>
              <w:bidi w:val="0"/>
              <w:spacing w:before="0" w:after="283"/>
              <w:jc w:val="left"/>
              <w:rPr/>
            </w:pPr>
            <w:r>
              <w:rPr/>
              <w:t>MB Precision Investment Holdings LLC - Senior Secured Delayed Draw Term Loan</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1,521</w:t>
            </w:r>
          </w:p>
        </w:tc>
        <w:tc>
          <w:tcPr>
            <w:tcW w:w="137" w:type="dxa"/>
            <w:tcBorders/>
            <w:vAlign w:val="center"/>
          </w:tcPr>
          <w:p>
            <w:pPr>
              <w:pStyle w:val="TableContents"/>
              <w:bidi w:val="0"/>
              <w:spacing w:before="0" w:after="283"/>
              <w:jc w:val="left"/>
              <w:rPr/>
            </w:pPr>
            <w:r>
              <w:rPr/>
              <w:t> </w:t>
            </w:r>
          </w:p>
        </w:tc>
      </w:tr>
      <w:tr>
        <w:trPr/>
        <w:tc>
          <w:tcPr>
            <w:tcW w:w="7236" w:type="dxa"/>
            <w:tcBorders/>
            <w:shd w:fill="CCEEFF" w:val="clear"/>
            <w:vAlign w:val="center"/>
          </w:tcPr>
          <w:p>
            <w:pPr>
              <w:pStyle w:val="TableContents"/>
              <w:bidi w:val="0"/>
              <w:spacing w:before="0" w:after="283"/>
              <w:jc w:val="left"/>
              <w:rPr/>
            </w:pPr>
            <w:r>
              <w:rPr/>
              <w:t>PREIT Associates - Revolver</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61</w:t>
            </w:r>
          </w:p>
        </w:tc>
        <w:tc>
          <w:tcPr>
            <w:tcW w:w="137" w:type="dxa"/>
            <w:tcBorders/>
            <w:shd w:fill="CCEEFF" w:val="clear"/>
            <w:vAlign w:val="center"/>
          </w:tcPr>
          <w:p>
            <w:pPr>
              <w:pStyle w:val="TableContents"/>
              <w:bidi w:val="0"/>
              <w:spacing w:before="0" w:after="283"/>
              <w:jc w:val="left"/>
              <w:rPr/>
            </w:pPr>
            <w:r>
              <w:rPr/>
              <w:t> </w:t>
            </w:r>
          </w:p>
        </w:tc>
      </w:tr>
      <w:tr>
        <w:trPr/>
        <w:tc>
          <w:tcPr>
            <w:tcW w:w="7236" w:type="dxa"/>
            <w:tcBorders/>
            <w:vAlign w:val="center"/>
          </w:tcPr>
          <w:p>
            <w:pPr>
              <w:pStyle w:val="TableContents"/>
              <w:bidi w:val="0"/>
              <w:spacing w:before="0" w:after="283"/>
              <w:jc w:val="left"/>
              <w:rPr/>
            </w:pPr>
            <w:r>
              <w:rPr/>
              <w:t>PSB Group, LLC - Revolver</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472</w:t>
            </w:r>
          </w:p>
        </w:tc>
        <w:tc>
          <w:tcPr>
            <w:tcW w:w="137" w:type="dxa"/>
            <w:tcBorders/>
            <w:vAlign w:val="center"/>
          </w:tcPr>
          <w:p>
            <w:pPr>
              <w:pStyle w:val="TableContents"/>
              <w:bidi w:val="0"/>
              <w:spacing w:before="0" w:after="283"/>
              <w:jc w:val="left"/>
              <w:rPr/>
            </w:pPr>
            <w:r>
              <w:rPr/>
              <w:t> </w:t>
            </w:r>
          </w:p>
        </w:tc>
      </w:tr>
      <w:tr>
        <w:trPr/>
        <w:tc>
          <w:tcPr>
            <w:tcW w:w="7236" w:type="dxa"/>
            <w:tcBorders/>
            <w:shd w:fill="CCEEFF" w:val="clear"/>
            <w:vAlign w:val="center"/>
          </w:tcPr>
          <w:p>
            <w:pPr>
              <w:pStyle w:val="TableContents"/>
              <w:bidi w:val="0"/>
              <w:spacing w:before="0" w:after="283"/>
              <w:jc w:val="left"/>
              <w:rPr/>
            </w:pPr>
            <w:r>
              <w:rPr/>
              <w:t>SS Acquisition, LLC (dba Soccer Shots Franchising) - Revolver</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1,029</w:t>
            </w:r>
          </w:p>
        </w:tc>
        <w:tc>
          <w:tcPr>
            <w:tcW w:w="137" w:type="dxa"/>
            <w:tcBorders/>
            <w:shd w:fill="CCEEFF" w:val="clear"/>
            <w:vAlign w:val="center"/>
          </w:tcPr>
          <w:p>
            <w:pPr>
              <w:pStyle w:val="TableContents"/>
              <w:bidi w:val="0"/>
              <w:spacing w:before="0" w:after="283"/>
              <w:jc w:val="left"/>
              <w:rPr/>
            </w:pPr>
            <w:r>
              <w:rPr/>
              <w:t> </w:t>
            </w:r>
          </w:p>
        </w:tc>
      </w:tr>
      <w:tr>
        <w:trPr/>
        <w:tc>
          <w:tcPr>
            <w:tcW w:w="7236" w:type="dxa"/>
            <w:tcBorders/>
            <w:vAlign w:val="center"/>
          </w:tcPr>
          <w:p>
            <w:pPr>
              <w:pStyle w:val="TableContents"/>
              <w:bidi w:val="0"/>
              <w:spacing w:before="0" w:after="283"/>
              <w:jc w:val="left"/>
              <w:rPr/>
            </w:pPr>
            <w:r>
              <w:rPr/>
              <w:t>Tamarix Capital Partners II, L.P. - Fund Investment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865</w:t>
            </w:r>
          </w:p>
        </w:tc>
        <w:tc>
          <w:tcPr>
            <w:tcW w:w="137" w:type="dxa"/>
            <w:tcBorders/>
            <w:vAlign w:val="center"/>
          </w:tcPr>
          <w:p>
            <w:pPr>
              <w:pStyle w:val="TableContents"/>
              <w:bidi w:val="0"/>
              <w:spacing w:before="0" w:after="283"/>
              <w:jc w:val="left"/>
              <w:rPr/>
            </w:pPr>
            <w:r>
              <w:rPr/>
              <w:t> </w:t>
            </w:r>
          </w:p>
        </w:tc>
      </w:tr>
      <w:tr>
        <w:trPr/>
        <w:tc>
          <w:tcPr>
            <w:tcW w:w="7236" w:type="dxa"/>
            <w:tcBorders/>
            <w:shd w:fill="CCEEFF" w:val="clear"/>
            <w:vAlign w:val="center"/>
          </w:tcPr>
          <w:p>
            <w:pPr>
              <w:pStyle w:val="TableContents"/>
              <w:bidi w:val="0"/>
              <w:spacing w:before="0" w:after="283"/>
              <w:jc w:val="left"/>
              <w:rPr/>
            </w:pPr>
            <w:r>
              <w:rPr/>
              <w:t>WHI Global, LLC - Revolver</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center"/>
          </w:tcPr>
          <w:p>
            <w:pPr>
              <w:pStyle w:val="TableContents"/>
              <w:bidi w:val="0"/>
              <w:spacing w:before="0" w:after="283"/>
              <w:jc w:val="right"/>
              <w:rPr/>
            </w:pPr>
            <w:r>
              <w:rPr/>
              <w:t>1,484</w:t>
            </w:r>
          </w:p>
        </w:tc>
        <w:tc>
          <w:tcPr>
            <w:tcW w:w="137" w:type="dxa"/>
            <w:tcBorders/>
            <w:shd w:fill="CCEEFF" w:val="clear"/>
            <w:vAlign w:val="center"/>
          </w:tcPr>
          <w:p>
            <w:pPr>
              <w:pStyle w:val="TableContents"/>
              <w:bidi w:val="0"/>
              <w:spacing w:before="0" w:after="283"/>
              <w:jc w:val="left"/>
              <w:rPr/>
            </w:pPr>
            <w:r>
              <w:rPr/>
              <w:t> </w:t>
            </w:r>
          </w:p>
        </w:tc>
      </w:tr>
      <w:tr>
        <w:trPr/>
        <w:tc>
          <w:tcPr>
            <w:tcW w:w="7236" w:type="dxa"/>
            <w:tcBorders/>
            <w:vAlign w:val="center"/>
          </w:tcPr>
          <w:p>
            <w:pPr>
              <w:pStyle w:val="TableContents"/>
              <w:bidi w:val="0"/>
              <w:spacing w:before="0" w:after="283"/>
              <w:jc w:val="left"/>
              <w:rPr/>
            </w:pPr>
            <w:r>
              <w:rPr/>
              <w:t>Total unfunded commitments</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859" w:type="dxa"/>
            <w:tcBorders>
              <w:bottom w:val="double" w:sz="10" w:space="0" w:color="000000"/>
            </w:tcBorders>
            <w:tcMar>
              <w:bottom w:w="28" w:type="dxa"/>
            </w:tcMar>
            <w:vAlign w:val="center"/>
          </w:tcPr>
          <w:p>
            <w:pPr>
              <w:pStyle w:val="TableContents"/>
              <w:bidi w:val="0"/>
              <w:spacing w:before="0" w:after="283"/>
              <w:jc w:val="right"/>
              <w:rPr/>
            </w:pPr>
            <w:r>
              <w:rPr/>
              <w:t>3,431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1131" w:type="dxa"/>
            <w:tcBorders>
              <w:bottom w:val="double" w:sz="10" w:space="0" w:color="000000"/>
            </w:tcBorders>
            <w:tcMar>
              <w:bottom w:w="28" w:type="dxa"/>
            </w:tcMar>
            <w:vAlign w:val="center"/>
          </w:tcPr>
          <w:p>
            <w:pPr>
              <w:pStyle w:val="TableContents"/>
              <w:bidi w:val="0"/>
              <w:spacing w:before="0" w:after="283"/>
              <w:jc w:val="right"/>
              <w:rPr/>
            </w:pPr>
            <w:r>
              <w:rPr/>
              <w:t>5,517</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leases to determine whether they should be classified as operating or finance leases. PhenixFIN identified one operating lease for its office space. The lease commenced on September 5, 2021. On December 18, 2024, the Company amended the terms of the lease, contingent on certain events, extending the lease term until August 31, 2035, with a right to terminate on the 36th and 60th month anniversaries of September 5, 2025, as well as any time on or after the 84th month anniversary of September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entering into the lease on September 5, 2021, PhenixFIN recorded a right-of-use asset and a lease liability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Commitments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asset related to the operating lease was $2.4 million and $2.5 million, respectively, and is included in the Other assets balance on the Consolidated Balance Sheet. As of March 31, 2026 and September 30, 2025, the lease liability was $2.5 million and $2.4 million, respectively, and is included in the Other liabilities balance on the Consolidated Statements of Assets and Liabilities. As of March 31, 2026 and September 30, 2025, the remaining lease term was approximately ten years, and the implied borrowing rate was 6.85%.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future minimum payments under PhenixFIN’s operating lease as of March 31, 2026:</w:t>
      </w:r>
    </w:p>
    <w:p>
      <w:pPr>
        <w:pStyle w:val="TextBody"/>
        <w:bidi w:val="0"/>
        <w:spacing w:before="0" w:after="0"/>
        <w:ind w:left="0" w:right="0" w:hanging="0"/>
        <w:jc w:val="both"/>
        <w:rPr>
          <w:caps w:val="false"/>
          <w:smallCaps w:val="false"/>
        </w:rPr>
      </w:pPr>
      <w:r>
        <w:rPr>
          <w:caps w:val="false"/>
          <w:smallCaps w:val="false"/>
        </w:rPr>
        <w:t> </w:t>
      </w:r>
    </w:p>
    <w:tbl>
      <w:tblPr>
        <w:tblW w:w="7235" w:type="dxa"/>
        <w:jc w:val="left"/>
        <w:tblInd w:w="0" w:type="dxa"/>
        <w:tblLayout w:type="fixed"/>
        <w:tblCellMar>
          <w:top w:w="0" w:type="dxa"/>
          <w:left w:w="0" w:type="dxa"/>
          <w:bottom w:w="28" w:type="dxa"/>
          <w:right w:w="0" w:type="dxa"/>
        </w:tblCellMar>
      </w:tblPr>
      <w:tblGrid>
        <w:gridCol w:w="5795"/>
        <w:gridCol w:w="90"/>
        <w:gridCol w:w="170"/>
        <w:gridCol w:w="1010"/>
        <w:gridCol w:w="170"/>
      </w:tblGrid>
      <w:tr>
        <w:trPr/>
        <w:tc>
          <w:tcPr>
            <w:tcW w:w="5795" w:type="dxa"/>
            <w:tcBorders>
              <w:bottom w:val="single" w:sz="12" w:space="0" w:color="000000"/>
            </w:tcBorders>
            <w:vAlign w:val="center"/>
          </w:tcPr>
          <w:p>
            <w:pPr>
              <w:pStyle w:val="TableContents"/>
              <w:bidi w:val="0"/>
              <w:spacing w:before="0" w:after="283"/>
              <w:jc w:val="left"/>
              <w:rPr>
                <w:b/>
              </w:rPr>
            </w:pPr>
            <w:r>
              <w:rPr>
                <w:b/>
              </w:rPr>
              <w:t>For the Years Ended September 30,</w:t>
            </w:r>
          </w:p>
        </w:tc>
        <w:tc>
          <w:tcPr>
            <w:tcW w:w="90" w:type="dxa"/>
            <w:tcBorders/>
            <w:tcMar>
              <w:bottom w:w="0" w:type="dxa"/>
            </w:tcMar>
            <w:vAlign w:val="center"/>
          </w:tcPr>
          <w:p>
            <w:pPr>
              <w:pStyle w:val="TableContents"/>
              <w:bidi w:val="0"/>
              <w:spacing w:before="0" w:after="283"/>
              <w:jc w:val="left"/>
              <w:rPr/>
            </w:pPr>
            <w:r>
              <w:rPr/>
              <w:t> </w:t>
            </w:r>
          </w:p>
        </w:tc>
        <w:tc>
          <w:tcPr>
            <w:tcW w:w="118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10" w:type="dxa"/>
            <w:tcBorders/>
            <w:shd w:fill="CCEEFF" w:val="clear"/>
            <w:tcMar>
              <w:bottom w:w="0" w:type="dxa"/>
            </w:tcMar>
            <w:vAlign w:val="center"/>
          </w:tcPr>
          <w:p>
            <w:pPr>
              <w:pStyle w:val="TableContents"/>
              <w:bidi w:val="0"/>
              <w:spacing w:before="0" w:after="283"/>
              <w:jc w:val="right"/>
              <w:rPr/>
            </w:pPr>
            <w:r>
              <w:rPr/>
              <w:t>158,288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325,261</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335,019</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345,070</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355,422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1,908,314</w:t>
            </w:r>
          </w:p>
        </w:tc>
        <w:tc>
          <w:tcPr>
            <w:tcW w:w="170" w:type="dxa"/>
            <w:tcBorders/>
            <w:tcMar>
              <w:bottom w:w="0" w:type="dxa"/>
            </w:tcMar>
            <w:vAlign w:val="center"/>
          </w:tcPr>
          <w:p>
            <w:pPr>
              <w:pStyle w:val="TableContents"/>
              <w:bidi w:val="0"/>
              <w:spacing w:before="0" w:after="283"/>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3,427,374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Difference between undiscounted and discounted cash flows</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right"/>
              <w:rPr/>
            </w:pPr>
            <w:r>
              <w:rPr/>
              <w:t>(929,618</w:t>
            </w:r>
          </w:p>
        </w:tc>
        <w:tc>
          <w:tcPr>
            <w:tcW w:w="170" w:type="dxa"/>
            <w:tcBorders/>
            <w:tcMar>
              <w:bottom w:w="0" w:type="dxa"/>
            </w:tcMar>
            <w:vAlign w:val="center"/>
          </w:tcPr>
          <w:p>
            <w:pPr>
              <w:pStyle w:val="TableContents"/>
              <w:bidi w:val="0"/>
              <w:spacing w:before="0" w:after="283"/>
              <w:jc w:val="left"/>
              <w:rPr/>
            </w:pPr>
            <w:r>
              <w:rPr/>
              <w:t>)</w:t>
            </w:r>
          </w:p>
        </w:tc>
      </w:tr>
      <w:tr>
        <w:trPr/>
        <w:tc>
          <w:tcPr>
            <w:tcW w:w="579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1010" w:type="dxa"/>
            <w:tcBorders>
              <w:bottom w:val="double" w:sz="10" w:space="0" w:color="000000"/>
            </w:tcBorders>
            <w:shd w:fill="CCEEFF" w:val="clear"/>
            <w:vAlign w:val="center"/>
          </w:tcPr>
          <w:p>
            <w:pPr>
              <w:pStyle w:val="TableContents"/>
              <w:bidi w:val="0"/>
              <w:spacing w:before="0" w:after="283"/>
              <w:jc w:val="right"/>
              <w:rPr/>
            </w:pPr>
            <w:r>
              <w:rPr/>
              <w:t>2,497,756</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Fee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consists of amendment fees, prepayment penalty and other fees which are non-recurring in nature, as well as administrative agent fees and management fees, which are recurring in nature. The following table summarizes the Company’s fee income for the three and six months ended March 31, 2026 and 2025 (dollars in thousands): </w:t>
      </w:r>
    </w:p>
    <w:p>
      <w:pPr>
        <w:pStyle w:val="TextBody"/>
        <w:bidi w:val="0"/>
        <w:spacing w:before="0" w:after="0"/>
        <w:ind w:left="0" w:right="0" w:hanging="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2375"/>
        <w:gridCol w:w="90"/>
        <w:gridCol w:w="433"/>
        <w:gridCol w:w="1045"/>
        <w:gridCol w:w="229"/>
        <w:gridCol w:w="229"/>
        <w:gridCol w:w="433"/>
        <w:gridCol w:w="739"/>
        <w:gridCol w:w="90"/>
        <w:gridCol w:w="90"/>
        <w:gridCol w:w="391"/>
        <w:gridCol w:w="944"/>
        <w:gridCol w:w="207"/>
        <w:gridCol w:w="207"/>
        <w:gridCol w:w="391"/>
        <w:gridCol w:w="667"/>
        <w:gridCol w:w="135"/>
      </w:tblGrid>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13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29"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11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Prepayment fee</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0"/>
              <w:jc w:val="right"/>
              <w:rPr/>
            </w:pPr>
            <w:r>
              <w:rPr/>
              <w:t>-</w:t>
            </w:r>
          </w:p>
        </w:tc>
        <w:tc>
          <w:tcPr>
            <w:tcW w:w="22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739"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667" w:type="dxa"/>
            <w:tcBorders/>
            <w:shd w:fill="CCEEFF" w:val="clear"/>
            <w:vAlign w:val="center"/>
          </w:tcPr>
          <w:p>
            <w:pPr>
              <w:pStyle w:val="TableContents"/>
              <w:bidi w:val="0"/>
              <w:spacing w:before="0" w:after="283"/>
              <w:jc w:val="right"/>
              <w:rPr/>
            </w:pPr>
            <w:r>
              <w:rPr/>
              <w:t>15</w:t>
            </w:r>
          </w:p>
        </w:tc>
        <w:tc>
          <w:tcPr>
            <w:tcW w:w="13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Administrative agent fee</w:t>
            </w:r>
          </w:p>
        </w:tc>
        <w:tc>
          <w:tcPr>
            <w:tcW w:w="9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0"/>
              <w:jc w:val="right"/>
              <w:rPr/>
            </w:pPr>
            <w:r>
              <w:rPr/>
              <w:t>-</w:t>
            </w:r>
          </w:p>
        </w:tc>
        <w:tc>
          <w:tcPr>
            <w:tcW w:w="229"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5</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Amendment fee</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0"/>
              <w:jc w:val="right"/>
              <w:rPr/>
            </w:pPr>
            <w:r>
              <w:rPr/>
              <w:t>-</w:t>
            </w:r>
          </w:p>
        </w:tc>
        <w:tc>
          <w:tcPr>
            <w:tcW w:w="22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0"/>
              <w:jc w:val="right"/>
              <w:rPr/>
            </w:pPr>
            <w:r>
              <w:rPr/>
              <w:t>-</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Management fee</w:t>
            </w:r>
          </w:p>
        </w:tc>
        <w:tc>
          <w:tcPr>
            <w:tcW w:w="9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15</w:t>
            </w:r>
          </w:p>
        </w:tc>
        <w:tc>
          <w:tcPr>
            <w:tcW w:w="229"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30</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Other fees</w:t>
            </w:r>
          </w:p>
        </w:tc>
        <w:tc>
          <w:tcPr>
            <w:tcW w:w="90"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283"/>
              <w:jc w:val="right"/>
              <w:rPr/>
            </w:pPr>
            <w:r>
              <w:rPr/>
              <w:t>149</w:t>
            </w:r>
          </w:p>
        </w:tc>
        <w:tc>
          <w:tcPr>
            <w:tcW w:w="229"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4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4" w:type="dxa"/>
            <w:tcBorders>
              <w:bottom w:val="single" w:sz="12" w:space="0" w:color="000000"/>
            </w:tcBorders>
            <w:shd w:fill="CCEEFF" w:val="clear"/>
            <w:tcMar>
              <w:bottom w:w="28" w:type="dxa"/>
            </w:tcMar>
            <w:vAlign w:val="center"/>
          </w:tcPr>
          <w:p>
            <w:pPr>
              <w:pStyle w:val="TableContents"/>
              <w:bidi w:val="0"/>
              <w:spacing w:before="0" w:after="283"/>
              <w:jc w:val="right"/>
              <w:rPr/>
            </w:pPr>
            <w:r>
              <w:rPr/>
              <w:t>317</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3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35"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Fee income</w:t>
            </w:r>
          </w:p>
        </w:tc>
        <w:tc>
          <w:tcPr>
            <w:tcW w:w="90" w:type="dxa"/>
            <w:tcBorders/>
            <w:vAlign w:val="center"/>
          </w:tcPr>
          <w:p>
            <w:pPr>
              <w:pStyle w:val="TableContents"/>
              <w:bidi w:val="0"/>
              <w:spacing w:before="0" w:after="283"/>
              <w:jc w:val="left"/>
              <w:rPr/>
            </w:pPr>
            <w:r>
              <w:rPr/>
              <w:t> </w:t>
            </w:r>
          </w:p>
        </w:tc>
        <w:tc>
          <w:tcPr>
            <w:tcW w:w="433" w:type="dxa"/>
            <w:tcBorders>
              <w:bottom w:val="double" w:sz="10" w:space="0" w:color="000000"/>
            </w:tcBorders>
            <w:tcMar>
              <w:bottom w:w="28" w:type="dxa"/>
            </w:tcMar>
            <w:vAlign w:val="center"/>
          </w:tcPr>
          <w:p>
            <w:pPr>
              <w:pStyle w:val="TableContents"/>
              <w:bidi w:val="0"/>
              <w:spacing w:before="0" w:after="283"/>
              <w:jc w:val="left"/>
              <w:rPr/>
            </w:pPr>
            <w:r>
              <w:rPr/>
              <w:t>$</w:t>
            </w:r>
          </w:p>
        </w:tc>
        <w:tc>
          <w:tcPr>
            <w:tcW w:w="1045" w:type="dxa"/>
            <w:tcBorders>
              <w:bottom w:val="double" w:sz="10" w:space="0" w:color="000000"/>
            </w:tcBorders>
            <w:tcMar>
              <w:bottom w:w="28" w:type="dxa"/>
            </w:tcMar>
            <w:vAlign w:val="center"/>
          </w:tcPr>
          <w:p>
            <w:pPr>
              <w:pStyle w:val="TableContents"/>
              <w:bidi w:val="0"/>
              <w:spacing w:before="0" w:after="283"/>
              <w:jc w:val="right"/>
              <w:rPr/>
            </w:pPr>
            <w:r>
              <w:rPr/>
              <w:t>164</w:t>
            </w:r>
          </w:p>
        </w:tc>
        <w:tc>
          <w:tcPr>
            <w:tcW w:w="229"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433" w:type="dxa"/>
            <w:tcBorders>
              <w:bottom w:val="double" w:sz="10" w:space="0" w:color="000000"/>
            </w:tcBorders>
            <w:tcMar>
              <w:bottom w:w="28" w:type="dxa"/>
            </w:tcMar>
            <w:vAlign w:val="center"/>
          </w:tcPr>
          <w:p>
            <w:pPr>
              <w:pStyle w:val="TableContents"/>
              <w:bidi w:val="0"/>
              <w:spacing w:before="0" w:after="283"/>
              <w:jc w:val="left"/>
              <w:rPr/>
            </w:pPr>
            <w:r>
              <w:rPr/>
              <w:t>$</w:t>
            </w:r>
          </w:p>
        </w:tc>
        <w:tc>
          <w:tcPr>
            <w:tcW w:w="739" w:type="dxa"/>
            <w:tcBorders>
              <w:bottom w:val="double" w:sz="10" w:space="0" w:color="000000"/>
            </w:tcBorders>
            <w:tcMar>
              <w:bottom w:w="28" w:type="dxa"/>
            </w:tcMar>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left"/>
              <w:rPr/>
            </w:pPr>
            <w:r>
              <w:rPr/>
              <w:t>$</w:t>
            </w:r>
          </w:p>
        </w:tc>
        <w:tc>
          <w:tcPr>
            <w:tcW w:w="944" w:type="dxa"/>
            <w:tcBorders>
              <w:bottom w:val="double" w:sz="10" w:space="0" w:color="000000"/>
            </w:tcBorders>
            <w:tcMar>
              <w:bottom w:w="28" w:type="dxa"/>
            </w:tcMar>
            <w:vAlign w:val="center"/>
          </w:tcPr>
          <w:p>
            <w:pPr>
              <w:pStyle w:val="TableContents"/>
              <w:bidi w:val="0"/>
              <w:spacing w:before="0" w:after="283"/>
              <w:jc w:val="right"/>
              <w:rPr/>
            </w:pPr>
            <w:r>
              <w:rPr/>
              <w:t>352</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391" w:type="dxa"/>
            <w:tcBorders>
              <w:bottom w:val="double" w:sz="10" w:space="0" w:color="000000"/>
            </w:tcBorders>
            <w:tcMar>
              <w:bottom w:w="28" w:type="dxa"/>
            </w:tcMar>
            <w:vAlign w:val="center"/>
          </w:tcPr>
          <w:p>
            <w:pPr>
              <w:pStyle w:val="TableContents"/>
              <w:bidi w:val="0"/>
              <w:spacing w:before="0" w:after="283"/>
              <w:jc w:val="left"/>
              <w:rPr/>
            </w:pPr>
            <w:r>
              <w:rPr/>
              <w:t>$</w:t>
            </w:r>
          </w:p>
        </w:tc>
        <w:tc>
          <w:tcPr>
            <w:tcW w:w="667" w:type="dxa"/>
            <w:tcBorders>
              <w:bottom w:val="double" w:sz="10" w:space="0" w:color="000000"/>
            </w:tcBorders>
            <w:tcMar>
              <w:bottom w:w="28" w:type="dxa"/>
            </w:tcMar>
            <w:vAlign w:val="center"/>
          </w:tcPr>
          <w:p>
            <w:pPr>
              <w:pStyle w:val="TableContents"/>
              <w:bidi w:val="0"/>
              <w:spacing w:before="0" w:after="283"/>
              <w:jc w:val="right"/>
              <w:rPr/>
            </w:pPr>
            <w:r>
              <w:rPr/>
              <w:t>41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Directors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1, 2023 to September 30, 2024, the Company’s independent directors received an annual fee of $150,000. In addition, the lead independent director received an annual retainer of $30,000; the chair of the Audit Committee received an annual retainer of $25,000, and each of its other members received an annual retainer of $12,500; and the chairs of the Nominating and Corporate Governance Committee and of the Compensation Committee each received an annual retainer of $15,000 and each of the other members of these committees received annual retainers of $8,000. The Company’s independent directors no longer receive fees for each board and committee meeting that they attend.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1, 2024, the structure was modified such that each of the Company’s independent directors receives an annual fee of $165,000. In addition, the lead independent director receives an annual retainer of $30,000; the chair of the Audit Committee receives an annual retainer of $19,000 and each of its other members receives an annual retainer of $12,500; the chair of the Nominating and Corporate Governance Committee receives an annual retainer of $12,000 and each of its other members receives an annual retainer of $11,000; and the chair of the Compensation Committee receives an annual retainer of $15,000 and each of its other members receives an annual retainer of $11,000.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board service compensation is paid to directors who are “interested persons” of the Company (as such term is defined in the 1940 Act). For the three and six months ended March 31, 2026, the Company recognized $0.2 million and $0.4 million for directors’ fees expense, respectively. For the three and six months ended March 31, 2025, the Company recognized $0.2 million and $0.4 million for directors’ fees expense,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Topic 260 - Earnings per Share, basic earnings per share is computed by dividing earnings available to common stockholders by the weighted average number of shares outstanding during the period. Other potentially dilutive common shares, and the related impact to earnings, are considered when calculating earnings per share on a diluted basis. The Company does not have any potentially dilutive common shares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computation of the weighted average basic and diluted net increase/(decrease) in net assets per share from operations for the three and six months ended March 31, 2026 and 2025 (amounts in thousands, except shares and per share amounts):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0"/>
        <w:gridCol w:w="90"/>
        <w:gridCol w:w="187"/>
        <w:gridCol w:w="1116"/>
        <w:gridCol w:w="99"/>
        <w:gridCol w:w="99"/>
        <w:gridCol w:w="187"/>
        <w:gridCol w:w="1116"/>
        <w:gridCol w:w="125"/>
        <w:gridCol w:w="90"/>
        <w:gridCol w:w="177"/>
        <w:gridCol w:w="1058"/>
        <w:gridCol w:w="130"/>
        <w:gridCol w:w="94"/>
        <w:gridCol w:w="177"/>
        <w:gridCol w:w="1058"/>
        <w:gridCol w:w="142"/>
      </w:tblGrid>
      <w:tr>
        <w:trPr/>
        <w:tc>
          <w:tcPr>
            <w:tcW w:w="42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8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142" w:type="dxa"/>
            <w:tcBorders/>
            <w:vAlign w:val="center"/>
          </w:tcPr>
          <w:p>
            <w:pPr>
              <w:pStyle w:val="TableContents"/>
              <w:bidi w:val="0"/>
              <w:spacing w:before="0" w:after="283"/>
              <w:ind w:left="0" w:right="0" w:hanging="180"/>
              <w:jc w:val="left"/>
              <w:rPr/>
            </w:pPr>
            <w:r>
              <w:rPr/>
              <w:t> </w:t>
            </w:r>
          </w:p>
        </w:tc>
      </w:tr>
      <w:tr>
        <w:trPr/>
        <w:tc>
          <w:tcPr>
            <w:tcW w:w="4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2" w:type="dxa"/>
            <w:tcBorders/>
            <w:vAlign w:val="center"/>
          </w:tcPr>
          <w:p>
            <w:pPr>
              <w:pStyle w:val="TableContents"/>
              <w:bidi w:val="0"/>
              <w:spacing w:before="0" w:after="283"/>
              <w:ind w:left="0" w:right="0" w:hanging="180"/>
              <w:jc w:val="left"/>
              <w:rPr/>
            </w:pPr>
            <w:r>
              <w:rPr/>
              <w:t> </w:t>
            </w:r>
          </w:p>
        </w:tc>
      </w:tr>
      <w:tr>
        <w:trPr/>
        <w:tc>
          <w:tcPr>
            <w:tcW w:w="426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1303"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303"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ind w:left="0" w:right="0" w:hanging="180"/>
              <w:jc w:val="left"/>
              <w:rPr/>
            </w:pPr>
            <w:r>
              <w:rPr/>
              <w:t> </w:t>
            </w:r>
          </w:p>
        </w:tc>
      </w:tr>
      <w:tr>
        <w:trPr/>
        <w:tc>
          <w:tcPr>
            <w:tcW w:w="4260" w:type="dxa"/>
            <w:tcBorders/>
            <w:shd w:fill="CCEEFF" w:val="clear"/>
            <w:vAlign w:val="center"/>
          </w:tcPr>
          <w:p>
            <w:pPr>
              <w:pStyle w:val="TableContents"/>
              <w:bidi w:val="0"/>
              <w:spacing w:before="0" w:after="283"/>
              <w:jc w:val="left"/>
              <w:rPr/>
            </w:pPr>
            <w:r>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1,133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(896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(3,637</w:t>
            </w:r>
          </w:p>
        </w:tc>
        <w:tc>
          <w:tcPr>
            <w:tcW w:w="13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1,568</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4260" w:type="dxa"/>
            <w:tcBorders/>
            <w:vAlign w:val="center"/>
          </w:tcPr>
          <w:p>
            <w:pPr>
              <w:pStyle w:val="TableContents"/>
              <w:bidi w:val="0"/>
              <w:spacing w:before="0" w:after="283"/>
              <w:jc w:val="left"/>
              <w:rPr/>
            </w:pPr>
            <w:r>
              <w:rPr/>
              <w:t>Weighted average shares of common stock outstanding - basic and diluted</w:t>
            </w:r>
          </w:p>
        </w:tc>
        <w:tc>
          <w:tcPr>
            <w:tcW w:w="9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1,972,943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2,019,778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1,987,363</w:t>
            </w:r>
          </w:p>
        </w:tc>
        <w:tc>
          <w:tcPr>
            <w:tcW w:w="13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2,019,778</w:t>
            </w:r>
          </w:p>
        </w:tc>
        <w:tc>
          <w:tcPr>
            <w:tcW w:w="142" w:type="dxa"/>
            <w:tcBorders/>
            <w:vAlign w:val="center"/>
          </w:tcPr>
          <w:p>
            <w:pPr>
              <w:pStyle w:val="TableContents"/>
              <w:bidi w:val="0"/>
              <w:spacing w:before="0" w:after="283"/>
              <w:ind w:left="0" w:right="0" w:hanging="180"/>
              <w:jc w:val="left"/>
              <w:rPr/>
            </w:pPr>
            <w:r>
              <w:rPr/>
              <w:t> </w:t>
            </w:r>
          </w:p>
        </w:tc>
      </w:tr>
      <w:tr>
        <w:trPr/>
        <w:tc>
          <w:tcPr>
            <w:tcW w:w="4260" w:type="dxa"/>
            <w:tcBorders/>
            <w:shd w:fill="CCEEFF" w:val="clear"/>
            <w:vAlign w:val="center"/>
          </w:tcPr>
          <w:p>
            <w:pPr>
              <w:pStyle w:val="TableContents"/>
              <w:bidi w:val="0"/>
              <w:spacing w:before="0" w:after="283"/>
              <w:jc w:val="left"/>
              <w:rPr/>
            </w:pPr>
            <w:r>
              <w:rPr/>
              <w:t>Earnings (loss) per share of common stock - basic and diluted</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0.57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116" w:type="dxa"/>
            <w:tcBorders/>
            <w:shd w:fill="CCEEFF" w:val="clear"/>
            <w:vAlign w:val="center"/>
          </w:tcPr>
          <w:p>
            <w:pPr>
              <w:pStyle w:val="TableContents"/>
              <w:bidi w:val="0"/>
              <w:spacing w:before="0" w:after="283"/>
              <w:jc w:val="right"/>
              <w:rPr/>
            </w:pPr>
            <w:r>
              <w:rPr/>
              <w:t>(0.44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(1.83</w:t>
            </w:r>
          </w:p>
        </w:tc>
        <w:tc>
          <w:tcPr>
            <w:tcW w:w="13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8" w:type="dxa"/>
            <w:tcBorders/>
            <w:shd w:fill="CCEEFF" w:val="clear"/>
            <w:vAlign w:val="center"/>
          </w:tcPr>
          <w:p>
            <w:pPr>
              <w:pStyle w:val="TableContents"/>
              <w:bidi w:val="0"/>
              <w:spacing w:before="0" w:after="283"/>
              <w:jc w:val="right"/>
              <w:rPr/>
            </w:pPr>
            <w:r>
              <w:rPr/>
              <w:t>0.78</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schedule of financial highlights for the six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6"/>
        <w:gridCol w:w="90"/>
        <w:gridCol w:w="170"/>
        <w:gridCol w:w="1250"/>
        <w:gridCol w:w="298"/>
        <w:gridCol w:w="90"/>
        <w:gridCol w:w="170"/>
        <w:gridCol w:w="1250"/>
        <w:gridCol w:w="291"/>
      </w:tblGrid>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291" w:type="dxa"/>
            <w:tcBorders/>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1" w:type="dxa"/>
            <w:tcBorders/>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Per share data</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Net Asset Value per share at Beginning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80.24</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79.37</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Results of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Investment Income/(Loss)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1.45</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1.28</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Net Realized Gain/(Loss) on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(0.21</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0.05</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Net Unrealized Gain/(Loss) on Investments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(2.76</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(0.39</w:t>
            </w:r>
          </w:p>
        </w:tc>
        <w:tc>
          <w:tcPr>
            <w:tcW w:w="291" w:type="dxa"/>
            <w:tcBorders/>
            <w:vAlign w:val="center"/>
          </w:tcPr>
          <w:p>
            <w:pPr>
              <w:pStyle w:val="TableContents"/>
              <w:bidi w:val="0"/>
              <w:spacing w:before="0" w:after="283"/>
              <w:ind w:left="0" w:right="0" w:hanging="180"/>
              <w:jc w:val="left"/>
              <w:rPr/>
            </w:pPr>
            <w:r>
              <w:rPr/>
              <w:t>)</w:t>
            </w:r>
          </w:p>
        </w:tc>
      </w:tr>
      <w:tr>
        <w:trPr/>
        <w:tc>
          <w:tcPr>
            <w:tcW w:w="6596" w:type="dxa"/>
            <w:tcBorders/>
            <w:shd w:fill="CCEEFF" w:val="clear"/>
            <w:vAlign w:val="center"/>
          </w:tcPr>
          <w:p>
            <w:pPr>
              <w:pStyle w:val="TableContents"/>
              <w:bidi w:val="0"/>
              <w:spacing w:before="0" w:after="283"/>
              <w:jc w:val="left"/>
              <w:rPr/>
            </w:pPr>
            <w:r>
              <w:rPr/>
              <w:t>Net loss on extinguishment of debt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(0.01</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0"/>
              <w:jc w:val="right"/>
              <w:rPr/>
            </w:pPr>
            <w:r>
              <w:rPr/>
              <w:t>-</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(0.30</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(0.16</w:t>
            </w:r>
          </w:p>
        </w:tc>
        <w:tc>
          <w:tcPr>
            <w:tcW w:w="291" w:type="dxa"/>
            <w:tcBorders/>
            <w:vAlign w:val="center"/>
          </w:tcPr>
          <w:p>
            <w:pPr>
              <w:pStyle w:val="TableContents"/>
              <w:bidi w:val="0"/>
              <w:spacing w:before="0" w:after="283"/>
              <w:ind w:left="0" w:right="0" w:hanging="180"/>
              <w:jc w:val="left"/>
              <w:rPr/>
            </w:pPr>
            <w:r>
              <w:rPr/>
              <w:t>)</w:t>
            </w:r>
          </w:p>
        </w:tc>
      </w:tr>
      <w:tr>
        <w:trPr/>
        <w:tc>
          <w:tcPr>
            <w:tcW w:w="6596" w:type="dxa"/>
            <w:tcBorders/>
            <w:shd w:fill="CCEEFF" w:val="clear"/>
            <w:vAlign w:val="center"/>
          </w:tcPr>
          <w:p>
            <w:pPr>
              <w:pStyle w:val="TableContents"/>
              <w:bidi w:val="0"/>
              <w:spacing w:before="0" w:after="283"/>
              <w:jc w:val="left"/>
              <w:rPr/>
            </w:pPr>
            <w:r>
              <w:rPr/>
              <w:t>Net Increase (Decrease) in Net Assets Resulting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(1.83</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0.78</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Capital Share Transactions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Distributions declared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right"/>
              <w:rPr/>
            </w:pPr>
            <w:r>
              <w:rPr/>
              <w:t>-</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(1.43</w:t>
            </w:r>
          </w:p>
        </w:tc>
        <w:tc>
          <w:tcPr>
            <w:tcW w:w="291" w:type="dxa"/>
            <w:tcBorders/>
            <w:vAlign w:val="center"/>
          </w:tcPr>
          <w:p>
            <w:pPr>
              <w:pStyle w:val="TableContents"/>
              <w:bidi w:val="0"/>
              <w:spacing w:before="0" w:after="283"/>
              <w:ind w:left="0" w:right="0" w:hanging="180"/>
              <w:jc w:val="left"/>
              <w:rPr/>
            </w:pPr>
            <w:r>
              <w:rPr/>
              <w:t>)</w:t>
            </w:r>
          </w:p>
        </w:tc>
      </w:tr>
      <w:tr>
        <w:trPr/>
        <w:tc>
          <w:tcPr>
            <w:tcW w:w="65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of common stock under stock repurchase program</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Net Increase (Decrease) Resulting from Capital Share Transactions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1.15</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12" w:space="0" w:color="000000"/>
            </w:tcBorders>
            <w:tcMar>
              <w:bottom w:w="28" w:type="dxa"/>
            </w:tcMar>
            <w:vAlign w:val="center"/>
          </w:tcPr>
          <w:p>
            <w:pPr>
              <w:pStyle w:val="TableContents"/>
              <w:bidi w:val="0"/>
              <w:spacing w:before="0" w:after="283"/>
              <w:jc w:val="right"/>
              <w:rPr/>
            </w:pPr>
            <w:r>
              <w:rPr/>
              <w:t>(1.43</w:t>
            </w:r>
          </w:p>
        </w:tc>
        <w:tc>
          <w:tcPr>
            <w:tcW w:w="291" w:type="dxa"/>
            <w:tcBorders/>
            <w:vAlign w:val="center"/>
          </w:tcPr>
          <w:p>
            <w:pPr>
              <w:pStyle w:val="TableContents"/>
              <w:bidi w:val="0"/>
              <w:spacing w:before="0" w:after="283"/>
              <w:ind w:left="0" w:right="0" w:hanging="180"/>
              <w:jc w:val="left"/>
              <w:rPr/>
            </w:pPr>
            <w:r>
              <w:rPr/>
              <w:t>)</w:t>
            </w:r>
          </w:p>
        </w:tc>
      </w:tr>
      <w:tr>
        <w:trPr/>
        <w:tc>
          <w:tcPr>
            <w:tcW w:w="6596" w:type="dxa"/>
            <w:tcBorders/>
            <w:shd w:fill="CCEEFF" w:val="clear"/>
            <w:vAlign w:val="center"/>
          </w:tcPr>
          <w:p>
            <w:pPr>
              <w:pStyle w:val="TableContents"/>
              <w:bidi w:val="0"/>
              <w:spacing w:before="0" w:after="283"/>
              <w:jc w:val="left"/>
              <w:rPr/>
            </w:pPr>
            <w:r>
              <w:rPr/>
              <w:t>Net Asset Value per share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79.56</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10" w:space="0" w:color="000000"/>
            </w:tcBorders>
            <w:shd w:fill="CCEEFF" w:val="clear"/>
            <w:tcMar>
              <w:bottom w:w="28" w:type="dxa"/>
            </w:tcMar>
            <w:vAlign w:val="center"/>
          </w:tcPr>
          <w:p>
            <w:pPr>
              <w:pStyle w:val="TableContents"/>
              <w:bidi w:val="0"/>
              <w:spacing w:before="0" w:after="283"/>
              <w:jc w:val="right"/>
              <w:rPr/>
            </w:pPr>
            <w:r>
              <w:rPr/>
              <w:t>78.72</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Net Assets at End of Period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153,811,704</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158,987,514</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Shares Outstanding at End of Period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1,933,238</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2,019,778</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ind w:left="0" w:right="0" w:hanging="180"/>
              <w:jc w:val="left"/>
              <w:rPr/>
            </w:pPr>
            <w:r>
              <w:rPr/>
              <w:t> </w:t>
            </w:r>
          </w:p>
        </w:tc>
      </w:tr>
      <w:tr>
        <w:trPr/>
        <w:tc>
          <w:tcPr>
            <w:tcW w:w="6596" w:type="dxa"/>
            <w:tcBorders/>
            <w:vAlign w:val="center"/>
          </w:tcPr>
          <w:p>
            <w:pPr>
              <w:pStyle w:val="TableContents"/>
              <w:bidi w:val="0"/>
              <w:spacing w:before="0" w:after="283"/>
              <w:jc w:val="left"/>
              <w:rPr/>
            </w:pPr>
            <w:r>
              <w:rPr/>
              <w:t>Per share market value at end of period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39.06</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54.00</w:t>
            </w:r>
          </w:p>
        </w:tc>
        <w:tc>
          <w:tcPr>
            <w:tcW w:w="291" w:type="dxa"/>
            <w:tcBorders/>
            <w:vAlign w:val="center"/>
          </w:tcPr>
          <w:p>
            <w:pPr>
              <w:pStyle w:val="TableContents"/>
              <w:bidi w:val="0"/>
              <w:spacing w:before="0" w:after="283"/>
              <w:ind w:left="0" w:right="0" w:hanging="180"/>
              <w:jc w:val="left"/>
              <w:rPr/>
            </w:pPr>
            <w:r>
              <w:rPr/>
              <w:t> </w:t>
            </w:r>
          </w:p>
        </w:tc>
      </w:tr>
      <w:tr>
        <w:trPr/>
        <w:tc>
          <w:tcPr>
            <w:tcW w:w="65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market value</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(17.99</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16.45</w:t>
            </w:r>
          </w:p>
        </w:tc>
        <w:tc>
          <w:tcPr>
            <w:tcW w:w="291" w:type="dxa"/>
            <w:tcBorders/>
            <w:shd w:fill="CCEEFF" w:val="clear"/>
            <w:vAlign w:val="center"/>
          </w:tcPr>
          <w:p>
            <w:pPr>
              <w:pStyle w:val="TableContents"/>
              <w:bidi w:val="0"/>
              <w:spacing w:before="0" w:after="283"/>
              <w:ind w:left="0" w:right="0" w:hanging="180"/>
              <w:jc w:val="left"/>
              <w:rPr/>
            </w:pPr>
            <w:r>
              <w:rPr/>
              <w:t>%</w:t>
            </w:r>
          </w:p>
        </w:tc>
      </w:tr>
      <w:tr>
        <w:trPr/>
        <w:tc>
          <w:tcPr>
            <w:tcW w:w="65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return based on net asset value</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(4.33</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0.98</w:t>
            </w:r>
          </w:p>
        </w:tc>
        <w:tc>
          <w:tcPr>
            <w:tcW w:w="291" w:type="dxa"/>
            <w:tcBorders/>
            <w:vAlign w:val="center"/>
          </w:tcPr>
          <w:p>
            <w:pPr>
              <w:pStyle w:val="TableContents"/>
              <w:bidi w:val="0"/>
              <w:spacing w:before="0" w:after="283"/>
              <w:ind w:left="0" w:right="0" w:hanging="180"/>
              <w:jc w:val="left"/>
              <w:rPr/>
            </w:pPr>
            <w:r>
              <w:rPr/>
              <w:t>%</w:t>
            </w:r>
          </w:p>
        </w:tc>
      </w:tr>
      <w:tr>
        <w:trPr/>
        <w:tc>
          <w:tcPr>
            <w:tcW w:w="6596" w:type="dxa"/>
            <w:tcBorders/>
            <w:shd w:fill="CCEEFF" w:val="clear"/>
            <w:vAlign w:val="center"/>
          </w:tcPr>
          <w:p>
            <w:pPr>
              <w:pStyle w:val="TableContents"/>
              <w:bidi w:val="0"/>
              <w:spacing w:before="0" w:after="283"/>
              <w:jc w:val="left"/>
              <w:rPr/>
            </w:pPr>
            <w:r>
              <w:rPr/>
              <w:t>Portfolio turnover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9.61</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29.19</w:t>
            </w:r>
          </w:p>
        </w:tc>
        <w:tc>
          <w:tcPr>
            <w:tcW w:w="291" w:type="dxa"/>
            <w:tcBorders/>
            <w:shd w:fill="CCEEFF" w:val="clear"/>
            <w:vAlign w:val="center"/>
          </w:tcPr>
          <w:p>
            <w:pPr>
              <w:pStyle w:val="TableContents"/>
              <w:bidi w:val="0"/>
              <w:spacing w:before="0" w:after="283"/>
              <w:jc w:val="left"/>
              <w:rPr/>
            </w:pPr>
            <w:r>
              <w:rPr/>
              <w:t>%</w:t>
            </w:r>
          </w:p>
        </w:tc>
      </w:tr>
      <w:tr>
        <w:trPr/>
        <w:tc>
          <w:tcPr>
            <w:tcW w:w="6596" w:type="dxa"/>
            <w:tcBorders/>
            <w:vAlign w:val="center"/>
          </w:tcPr>
          <w:p>
            <w:pPr>
              <w:pStyle w:val="TableContents"/>
              <w:bidi w:val="0"/>
              <w:spacing w:before="0" w:after="283"/>
              <w:jc w:val="left"/>
              <w:rPr/>
            </w:pPr>
            <w:r>
              <w:rPr/>
              <w:t>Ratios: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Ratio of net investment/(loss) income to average net assets after waivers, discounts and reimbursements</w:t>
            </w:r>
            <w:r>
              <w:rPr>
                <w:rFonts w:ascii="Times New Roman;Times;Serif" w:hAnsi="Times New Roman;Times;Serif"/>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3.68</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3.27</w:t>
            </w:r>
          </w:p>
        </w:tc>
        <w:tc>
          <w:tcPr>
            <w:tcW w:w="291" w:type="dxa"/>
            <w:tcBorders/>
            <w:shd w:fill="CCEEFF" w:val="clear"/>
            <w:vAlign w:val="center"/>
          </w:tcPr>
          <w:p>
            <w:pPr>
              <w:pStyle w:val="TableContents"/>
              <w:bidi w:val="0"/>
              <w:spacing w:before="0" w:after="283"/>
              <w:jc w:val="left"/>
              <w:rPr/>
            </w:pPr>
            <w:r>
              <w:rPr/>
              <w:t>%</w:t>
            </w:r>
          </w:p>
        </w:tc>
      </w:tr>
      <w:tr>
        <w:trPr/>
        <w:tc>
          <w:tcPr>
            <w:tcW w:w="6596" w:type="dxa"/>
            <w:tcBorders/>
            <w:vAlign w:val="center"/>
          </w:tcPr>
          <w:p>
            <w:pPr>
              <w:pStyle w:val="TableContents"/>
              <w:bidi w:val="0"/>
              <w:spacing w:before="0" w:after="283"/>
              <w:jc w:val="left"/>
              <w:rPr/>
            </w:pPr>
            <w:r>
              <w:rPr/>
              <w:t>Ratio of total expenses to average net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11.49</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12.16</w:t>
            </w:r>
          </w:p>
        </w:tc>
        <w:tc>
          <w:tcPr>
            <w:tcW w:w="291" w:type="dxa"/>
            <w:tcBorders/>
            <w:vAlign w:val="center"/>
          </w:tcPr>
          <w:p>
            <w:pPr>
              <w:pStyle w:val="TableContents"/>
              <w:bidi w:val="0"/>
              <w:spacing w:before="0" w:after="283"/>
              <w:jc w:val="left"/>
              <w:rPr/>
            </w:pPr>
            <w:r>
              <w:rPr/>
              <w:t>%</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Supplemental Data: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Percentage of non-recurring fee income</w:t>
            </w:r>
            <w:r>
              <w:rPr>
                <w:rFonts w:ascii="Times New Roman;Times;Serif" w:hAnsi="Times New Roman;Times;Serif"/>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2.97</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0.33</w:t>
            </w:r>
          </w:p>
        </w:tc>
        <w:tc>
          <w:tcPr>
            <w:tcW w:w="291" w:type="dxa"/>
            <w:tcBorders/>
            <w:shd w:fill="CCEEFF" w:val="clear"/>
            <w:vAlign w:val="center"/>
          </w:tcPr>
          <w:p>
            <w:pPr>
              <w:pStyle w:val="TableContents"/>
              <w:bidi w:val="0"/>
              <w:spacing w:before="0" w:after="283"/>
              <w:jc w:val="left"/>
              <w:rPr/>
            </w:pPr>
            <w:r>
              <w:rPr/>
              <w:t>%</w:t>
            </w:r>
          </w:p>
        </w:tc>
      </w:tr>
      <w:tr>
        <w:trPr/>
        <w:tc>
          <w:tcPr>
            <w:tcW w:w="65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debt outstanding</w:t>
            </w:r>
            <w:r>
              <w:rPr>
                <w:rFonts w:ascii="Times New Roman;Times;Serif" w:hAnsi="Times New Roman;Times;Serif"/>
                <w:position w:val="7"/>
                <w:sz w:val="16"/>
                <w:sz w:val="20"/>
              </w:rPr>
              <w:t>(7)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148,112,398</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139,253,604</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Average debt outstanding per weighted average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74.53</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68.95</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coverage ratio per unit</w:t>
            </w:r>
            <w:r>
              <w:rPr>
                <w:rFonts w:ascii="Times New Roman;Times;Serif" w:hAnsi="Times New Roman;Times;Serif"/>
                <w:position w:val="7"/>
                <w:sz w:val="16"/>
                <w:sz w:val="20"/>
              </w:rPr>
              <w:t>(8)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2,043</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2,146</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Securities Outstanding</w:t>
            </w:r>
            <w:r>
              <w:rPr>
                <w:rFonts w:ascii="Times New Roman;Times;Serif" w:hAnsi="Times New Roman;Times;Serif"/>
                <w:position w:val="7"/>
                <w:sz w:val="16"/>
                <w:sz w:val="20"/>
              </w:rPr>
              <w:t>(9)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2023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right"/>
              <w:rPr/>
            </w:pPr>
            <w:r>
              <w:rPr/>
              <w:t>-</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right"/>
              <w:rPr/>
            </w:pPr>
            <w:r>
              <w:rPr/>
              <w:t>-</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2028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57,500,000</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57,500,000</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2028 Promissory Note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right"/>
              <w:rPr/>
            </w:pPr>
            <w:r>
              <w:rPr/>
              <w:t>-</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jc w:val="right"/>
              <w:rPr/>
            </w:pPr>
            <w:r>
              <w:rPr/>
              <w:t>1,661,498</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89,991,619</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79,600,000</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Average market value per unit: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2028 Notes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22.85</w:t>
            </w:r>
          </w:p>
        </w:tc>
        <w:tc>
          <w:tcPr>
            <w:tcW w:w="2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22.57</w:t>
            </w:r>
          </w:p>
        </w:tc>
        <w:tc>
          <w:tcPr>
            <w:tcW w:w="291"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2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investment income/(loss) excluding management and incentive fee waivers, discounts and reimbursements based on total weighted average common stock outstanding equals $1.45 and $1.28 per share for the six months ended March 31, 2026 and 2025, respectively.</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shown at this caption is the balancing amount derived from the other figures in the schedule. The amount shown at this caption for a share outstanding throughout the period may not agree with the repurchase of common stock because of the timing of repurchase of the Company’s shares.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12. Financial Highlights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return is historical and assumes changes in share price, reinvestments of all dividends and distributions at prices obtained under the Company’s dividend reinvestment plan, and no sales charge for the period. Calculation is not annualized.</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return is historical and assumes changes in NAV, reinvestments of all dividends at prices obtained under the Company’s dividend reinvestment plan, and no sales charges for the period. Calculation is not annualized.</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Ratios are annualized during interim periods.</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the impact of the non-recurring fees as a percentage of total investment income.</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Based on daily weighted average carrying value of debt outstanding during the period. </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65" w:type="dxa"/>
            <w:tcBorders/>
            <w:vAlign w:val="center"/>
          </w:tcPr>
          <w:p>
            <w:pPr>
              <w:pStyle w:val="TableContents"/>
              <w:bidi w:val="0"/>
              <w:spacing w:before="0" w:after="283"/>
              <w:jc w:val="both"/>
              <w:rPr/>
            </w:pPr>
            <w:r>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 As of March 31, 2026, the Company’s asset coverage was 204.3% after giving effect to leverage and therefore the Company’s asset coverage was above 200%, the minimum asset coverage requirement under the 1940 Act.</w:t>
            </w:r>
          </w:p>
        </w:tc>
      </w:tr>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amount of each class of senior securities outstanding at the end of the period excluding debt issuance costs.</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and distributions to common stockholders are recorded on the ex-dividend date. Any amounts to be paid out as a dividend are determined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for our common stockholders. As a result, if we declare a cash dividend or other distribution, each stockholder that has not “opted out” of our dividend reinvestment plan will have its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any distribution payments during the six months ended March 31, 2026. On February 6, 2025, the Board of Directors declared a special dividend of $1.43 per share. This dividend was paid on February 19, 2025 to stockholders of record as of February 17, 2025. The dividends declared during the six months ended March 31, 2025 were derived from net investment income, determined on a tax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Share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8, 2023, the Board of Directors approved the expansion of the amount authorized for repurchase under the Company’s share repurchase program from $25 million to $35 million. Since announcing this share repurchase program on January 11, 2021, the Company has repurchased an aggregate of 787,425 shares of common stock through March 31, 2026 with a total cost of approximately $32.2 million, or 28.9% of shares outstanding as of the program’s inception. The total remaining amount authorized under the expanded share repurchase program is approximately $2.8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14. Share Transactions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repurchased by the Company at an average price of $40.94 per share under its share repurchase program from February 10, 2021 through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3"/>
        <w:gridCol w:w="90"/>
        <w:gridCol w:w="192"/>
        <w:gridCol w:w="1794"/>
        <w:gridCol w:w="90"/>
        <w:gridCol w:w="90"/>
        <w:gridCol w:w="110"/>
        <w:gridCol w:w="1695"/>
        <w:gridCol w:w="90"/>
        <w:gridCol w:w="90"/>
        <w:gridCol w:w="563"/>
        <w:gridCol w:w="3770"/>
        <w:gridCol w:w="138"/>
      </w:tblGrid>
      <w:tr>
        <w:trPr/>
        <w:tc>
          <w:tcPr>
            <w:tcW w:w="1493" w:type="dxa"/>
            <w:tcBorders>
              <w:bottom w:val="single" w:sz="12" w:space="0" w:color="000000"/>
            </w:tcBorders>
            <w:vAlign w:val="center"/>
          </w:tcPr>
          <w:p>
            <w:pPr>
              <w:pStyle w:val="TableContents"/>
              <w:bidi w:val="0"/>
              <w:spacing w:before="0" w:after="283"/>
              <w:jc w:val="left"/>
              <w:rPr>
                <w:b/>
              </w:rPr>
            </w:pPr>
            <w:r>
              <w:rPr>
                <w:b/>
              </w:rPr>
              <w:t>Month Ended</w:t>
            </w:r>
          </w:p>
        </w:tc>
        <w:tc>
          <w:tcPr>
            <w:tcW w:w="90" w:type="dxa"/>
            <w:tcBorders/>
            <w:tcMar>
              <w:bottom w:w="0" w:type="dxa"/>
            </w:tcMar>
            <w:vAlign w:val="center"/>
          </w:tcPr>
          <w:p>
            <w:pPr>
              <w:pStyle w:val="TableContents"/>
              <w:bidi w:val="0"/>
              <w:spacing w:before="0" w:after="283"/>
              <w:jc w:val="left"/>
              <w:rPr/>
            </w:pPr>
            <w:r>
              <w:rPr/>
              <w:t> </w:t>
            </w:r>
          </w:p>
        </w:tc>
        <w:tc>
          <w:tcPr>
            <w:tcW w:w="1986" w:type="dxa"/>
            <w:gridSpan w:val="2"/>
            <w:tcBorders>
              <w:bottom w:val="single" w:sz="12" w:space="0" w:color="000000"/>
            </w:tcBorders>
            <w:vAlign w:val="center"/>
          </w:tcPr>
          <w:p>
            <w:pPr>
              <w:pStyle w:val="TableContents"/>
              <w:bidi w:val="0"/>
              <w:spacing w:before="0" w:after="283"/>
              <w:jc w:val="center"/>
              <w:rPr>
                <w:b/>
              </w:rPr>
            </w:pPr>
            <w:r>
              <w:rPr>
                <w:b/>
              </w:rPr>
              <w:t>Shares Repurchased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05" w:type="dxa"/>
            <w:gridSpan w:val="2"/>
            <w:tcBorders>
              <w:bottom w:val="single" w:sz="12" w:space="0" w:color="000000"/>
            </w:tcBorders>
            <w:vAlign w:val="center"/>
          </w:tcPr>
          <w:p>
            <w:pPr>
              <w:pStyle w:val="TableContents"/>
              <w:bidi w:val="0"/>
              <w:spacing w:before="0" w:after="283"/>
              <w:jc w:val="center"/>
              <w:rPr>
                <w:b/>
              </w:rPr>
            </w:pPr>
            <w:r>
              <w:rPr>
                <w:b/>
              </w:rPr>
              <w:t xml:space="preserve">Repurchase Price </w:t>
              <w:br/>
              <w:t>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333" w:type="dxa"/>
            <w:gridSpan w:val="2"/>
            <w:tcBorders>
              <w:bottom w:val="single" w:sz="12" w:space="0" w:color="000000"/>
            </w:tcBorders>
            <w:vAlign w:val="center"/>
          </w:tcPr>
          <w:p>
            <w:pPr>
              <w:pStyle w:val="TableContents"/>
              <w:bidi w:val="0"/>
              <w:spacing w:before="0" w:after="283"/>
              <w:jc w:val="center"/>
              <w:rPr>
                <w:b/>
              </w:rPr>
            </w:pPr>
            <w:r>
              <w:rPr>
                <w:b/>
              </w:rPr>
              <w:t>Aggregate Consideration for Repurchased Shares</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February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13,082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$30.25 - $30.96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397,384</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March 2021</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12,241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$30.25 - $34.42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393,938</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April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14,390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$33.11 - $34.89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491,469</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May 2021</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25,075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$34.56 - $39.93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976,440</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August 2021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141,700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$41.03 - $42.28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5,944,213</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January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7,312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$39.07 - $40.88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293,756</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February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170,589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$39.53 - $41.00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6,908,864</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March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132,054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$39.24 - $40.57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5,306,885</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April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2,942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$39.07 - $41.00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117,758</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May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3,391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$37.70 - $39.78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131,338</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June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3,515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$37.28 - $39.19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135,063</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July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700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$36.40 - $37.23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25,864</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August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3,081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$28.24 - $37.79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112,456</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September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91,508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$36.80 - $37.50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3,443,845</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October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701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$35.20 - $36.14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14,434</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November 2022</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1,103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$34.53 - $35.28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38,790</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December 2022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1,501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$33.26 - $34.84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51,295</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January 2023</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2,052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$32.78 - $34.84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68,665</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February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3,131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$33.06 - $39.03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115,430</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March 2023</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2,003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$37.02 - $38.89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76,214</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April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649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$35.79 - $37.03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23,671</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May 2023</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$36.53 - $36.53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3,658</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June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2,300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$33.63 - $38.76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85,556</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August 2023</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14,751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$36.98 - $39.41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575,728</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September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$38.11 - $38.11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4,772</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November 2023</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475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$37.03 - $37.78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17,825</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December 2023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12,748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$37.53 - $41.03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520,749</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March 2024</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40,000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$45.03 - $45.03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1,801,205</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April 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700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$43.76 - $43.76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30,637</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May 2024</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$44.82 - $44.82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543</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June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15,909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$50.03 - $50.03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795,932</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September 2025</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$47.68 - $47.68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4,773</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December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4,135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$41.68 - $47.38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182,876</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January 2026</w:t>
            </w:r>
          </w:p>
        </w:tc>
        <w:tc>
          <w:tcPr>
            <w:tcW w:w="90" w:type="dxa"/>
            <w:tcBorders/>
            <w:tcMar>
              <w:bottom w:w="0" w:type="dxa"/>
            </w:tcMar>
            <w:vAlign w:val="center"/>
          </w:tcPr>
          <w:p>
            <w:pPr>
              <w:pStyle w:val="TableContents"/>
              <w:bidi w:val="0"/>
              <w:spacing w:before="0" w:after="283"/>
              <w:jc w:val="left"/>
              <w:rPr/>
            </w:pPr>
            <w:r>
              <w:rPr/>
              <w:t> </w:t>
            </w:r>
          </w:p>
        </w:tc>
        <w:tc>
          <w:tcPr>
            <w:tcW w:w="192" w:type="dxa"/>
            <w:tcBorders/>
            <w:tcMar>
              <w:bottom w:w="0" w:type="dxa"/>
            </w:tcMar>
            <w:vAlign w:val="center"/>
          </w:tcPr>
          <w:p>
            <w:pPr>
              <w:pStyle w:val="TableContents"/>
              <w:bidi w:val="0"/>
              <w:spacing w:before="0" w:after="283"/>
              <w:jc w:val="left"/>
              <w:rPr/>
            </w:pPr>
            <w:r>
              <w:rPr/>
              <w:t> </w:t>
            </w:r>
          </w:p>
        </w:tc>
        <w:tc>
          <w:tcPr>
            <w:tcW w:w="1794" w:type="dxa"/>
            <w:tcBorders/>
            <w:tcMar>
              <w:bottom w:w="0" w:type="dxa"/>
            </w:tcMar>
            <w:vAlign w:val="center"/>
          </w:tcPr>
          <w:p>
            <w:pPr>
              <w:pStyle w:val="TableContents"/>
              <w:bidi w:val="0"/>
              <w:spacing w:before="0" w:after="283"/>
              <w:jc w:val="right"/>
              <w:rPr/>
            </w:pPr>
            <w:r>
              <w:rPr/>
              <w:t>1,375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$43.09 - $45.62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right"/>
              <w:rPr/>
            </w:pPr>
            <w:r>
              <w:rPr/>
              <w:t>60,872</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February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794" w:type="dxa"/>
            <w:tcBorders/>
            <w:shd w:fill="CCEEFF" w:val="clear"/>
            <w:tcMar>
              <w:bottom w:w="0" w:type="dxa"/>
            </w:tcMar>
            <w:vAlign w:val="center"/>
          </w:tcPr>
          <w:p>
            <w:pPr>
              <w:pStyle w:val="TableContents"/>
              <w:bidi w:val="0"/>
              <w:spacing w:before="0" w:after="283"/>
              <w:jc w:val="right"/>
              <w:rPr/>
            </w:pPr>
            <w:r>
              <w:rPr/>
              <w:t>60,600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$42.41 - $47.77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shd w:fill="CCEEFF" w:val="clear"/>
            <w:tcMar>
              <w:bottom w:w="0" w:type="dxa"/>
            </w:tcMar>
            <w:vAlign w:val="center"/>
          </w:tcPr>
          <w:p>
            <w:pPr>
              <w:pStyle w:val="TableContents"/>
              <w:bidi w:val="0"/>
              <w:spacing w:before="0" w:after="283"/>
              <w:jc w:val="left"/>
              <w:rPr/>
            </w:pPr>
            <w:r>
              <w:rPr/>
              <w:t> </w:t>
            </w:r>
          </w:p>
        </w:tc>
        <w:tc>
          <w:tcPr>
            <w:tcW w:w="3770" w:type="dxa"/>
            <w:tcBorders/>
            <w:shd w:fill="CCEEFF" w:val="clear"/>
            <w:tcMar>
              <w:bottom w:w="0" w:type="dxa"/>
            </w:tcMar>
            <w:vAlign w:val="center"/>
          </w:tcPr>
          <w:p>
            <w:pPr>
              <w:pStyle w:val="TableContents"/>
              <w:bidi w:val="0"/>
              <w:spacing w:before="0" w:after="283"/>
              <w:jc w:val="right"/>
              <w:rPr/>
            </w:pPr>
            <w:r>
              <w:rPr/>
              <w:t>2,893,547</w:t>
            </w:r>
          </w:p>
        </w:tc>
        <w:tc>
          <w:tcPr>
            <w:tcW w:w="138" w:type="dxa"/>
            <w:tcBorders/>
            <w:shd w:fill="CCEEFF" w:val="clear"/>
            <w:tcMar>
              <w:bottom w:w="0" w:type="dxa"/>
            </w:tcMar>
            <w:vAlign w:val="center"/>
          </w:tcPr>
          <w:p>
            <w:pPr>
              <w:pStyle w:val="TableContents"/>
              <w:bidi w:val="0"/>
              <w:spacing w:before="0" w:after="283"/>
              <w:jc w:val="left"/>
              <w:rPr/>
            </w:pPr>
            <w:r>
              <w:rPr/>
              <w:t> </w:t>
            </w:r>
          </w:p>
        </w:tc>
      </w:tr>
      <w:tr>
        <w:trPr/>
        <w:tc>
          <w:tcPr>
            <w:tcW w:w="1493" w:type="dxa"/>
            <w:tcBorders/>
            <w:tcMar>
              <w:bottom w:w="0" w:type="dxa"/>
            </w:tcMar>
            <w:vAlign w:val="center"/>
          </w:tcPr>
          <w:p>
            <w:pPr>
              <w:pStyle w:val="TableContents"/>
              <w:bidi w:val="0"/>
              <w:spacing w:before="0" w:after="283"/>
              <w:jc w:val="left"/>
              <w:rPr/>
            </w:pPr>
            <w:r>
              <w:rPr/>
              <w:t>March 2026</w:t>
            </w:r>
          </w:p>
        </w:tc>
        <w:tc>
          <w:tcPr>
            <w:tcW w:w="90" w:type="dxa"/>
            <w:tcBorders/>
            <w:tcMar>
              <w:bottom w:w="0" w:type="dxa"/>
            </w:tcMar>
            <w:vAlign w:val="center"/>
          </w:tcPr>
          <w:p>
            <w:pPr>
              <w:pStyle w:val="TableContents"/>
              <w:bidi w:val="0"/>
              <w:spacing w:before="0" w:after="283"/>
              <w:jc w:val="left"/>
              <w:rPr/>
            </w:pPr>
            <w:r>
              <w:rPr/>
              <w:t> </w:t>
            </w:r>
          </w:p>
        </w:tc>
        <w:tc>
          <w:tcPr>
            <w:tcW w:w="192" w:type="dxa"/>
            <w:tcBorders>
              <w:bottom w:val="single" w:sz="12" w:space="0" w:color="000000"/>
            </w:tcBorders>
            <w:vAlign w:val="center"/>
          </w:tcPr>
          <w:p>
            <w:pPr>
              <w:pStyle w:val="TableContents"/>
              <w:bidi w:val="0"/>
              <w:spacing w:before="0" w:after="283"/>
              <w:jc w:val="left"/>
              <w:rPr/>
            </w:pPr>
            <w:r>
              <w:rPr/>
              <w:t> </w:t>
            </w:r>
          </w:p>
        </w:tc>
        <w:tc>
          <w:tcPr>
            <w:tcW w:w="1794" w:type="dxa"/>
            <w:tcBorders>
              <w:bottom w:val="single" w:sz="12" w:space="0" w:color="000000"/>
            </w:tcBorders>
            <w:vAlign w:val="center"/>
          </w:tcPr>
          <w:p>
            <w:pPr>
              <w:pStyle w:val="TableContents"/>
              <w:bidi w:val="0"/>
              <w:spacing w:before="0" w:after="283"/>
              <w:jc w:val="right"/>
              <w:rPr/>
            </w:pPr>
            <w:r>
              <w:rPr/>
              <w:t>1,375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center"/>
              <w:rPr/>
            </w:pPr>
            <w:r>
              <w:rPr/>
              <w:t> </w:t>
            </w:r>
          </w:p>
        </w:tc>
        <w:tc>
          <w:tcPr>
            <w:tcW w:w="1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$40.04 - $44.40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3" w:type="dxa"/>
            <w:tcBorders>
              <w:bottom w:val="single" w:sz="12" w:space="0" w:color="000000"/>
            </w:tcBorders>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283"/>
              <w:jc w:val="right"/>
              <w:rPr/>
            </w:pPr>
            <w:r>
              <w:rPr/>
              <w:t>187,893</w:t>
            </w:r>
          </w:p>
        </w:tc>
        <w:tc>
          <w:tcPr>
            <w:tcW w:w="138" w:type="dxa"/>
            <w:tcBorders/>
            <w:tcMar>
              <w:bottom w:w="0" w:type="dxa"/>
            </w:tcMar>
            <w:vAlign w:val="center"/>
          </w:tcPr>
          <w:p>
            <w:pPr>
              <w:pStyle w:val="TableContents"/>
              <w:bidi w:val="0"/>
              <w:spacing w:before="0" w:after="283"/>
              <w:jc w:val="left"/>
              <w:rPr/>
            </w:pPr>
            <w:r>
              <w:rPr/>
              <w:t> </w:t>
            </w:r>
          </w:p>
        </w:tc>
      </w:tr>
      <w:tr>
        <w:trPr/>
        <w:tc>
          <w:tcPr>
            <w:tcW w:w="1493"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10" w:space="0" w:color="000000"/>
            </w:tcBorders>
            <w:shd w:fill="CCEEFF" w:val="clear"/>
            <w:vAlign w:val="center"/>
          </w:tcPr>
          <w:p>
            <w:pPr>
              <w:pStyle w:val="TableContents"/>
              <w:bidi w:val="0"/>
              <w:spacing w:before="0" w:after="283"/>
              <w:jc w:val="left"/>
              <w:rPr/>
            </w:pPr>
            <w:r>
              <w:rPr/>
              <w:t> </w:t>
            </w:r>
          </w:p>
        </w:tc>
        <w:tc>
          <w:tcPr>
            <w:tcW w:w="1794" w:type="dxa"/>
            <w:tcBorders>
              <w:bottom w:val="double" w:sz="10" w:space="0" w:color="000000"/>
            </w:tcBorders>
            <w:shd w:fill="CCEEFF" w:val="clear"/>
            <w:vAlign w:val="center"/>
          </w:tcPr>
          <w:p>
            <w:pPr>
              <w:pStyle w:val="TableContents"/>
              <w:bidi w:val="0"/>
              <w:spacing w:before="0" w:after="283"/>
              <w:jc w:val="right"/>
              <w:rPr/>
            </w:pPr>
            <w:r>
              <w:rPr/>
              <w:t>787,425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center"/>
              <w:rPr/>
            </w:pPr>
            <w:r>
              <w:rPr/>
              <w:t> </w:t>
            </w:r>
          </w:p>
        </w:tc>
        <w:tc>
          <w:tcPr>
            <w:tcW w:w="169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3" w:type="dxa"/>
            <w:tcBorders>
              <w:bottom w:val="double" w:sz="10" w:space="0" w:color="000000"/>
            </w:tcBorders>
            <w:shd w:fill="CCEEFF" w:val="clear"/>
            <w:vAlign w:val="center"/>
          </w:tcPr>
          <w:p>
            <w:pPr>
              <w:pStyle w:val="TableContents"/>
              <w:bidi w:val="0"/>
              <w:spacing w:before="0" w:after="283"/>
              <w:jc w:val="left"/>
              <w:rPr/>
            </w:pPr>
            <w:r>
              <w:rPr/>
              <w:t>$</w:t>
            </w:r>
          </w:p>
        </w:tc>
        <w:tc>
          <w:tcPr>
            <w:tcW w:w="3770" w:type="dxa"/>
            <w:tcBorders>
              <w:bottom w:val="double" w:sz="10" w:space="0" w:color="000000"/>
            </w:tcBorders>
            <w:shd w:fill="CCEEFF" w:val="clear"/>
            <w:vAlign w:val="center"/>
          </w:tcPr>
          <w:p>
            <w:pPr>
              <w:pStyle w:val="TableContents"/>
              <w:bidi w:val="0"/>
              <w:spacing w:before="0" w:after="283"/>
              <w:jc w:val="right"/>
              <w:rPr/>
            </w:pPr>
            <w:r>
              <w:rPr/>
              <w:t>32,234,338</w:t>
            </w:r>
          </w:p>
        </w:tc>
        <w:tc>
          <w:tcPr>
            <w:tcW w:w="13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zero shares that were not yet transferred into treasury.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PHENIXFIN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it has a single operating segment in accordance with Topic 280, Segment Reporting (“ASC 280”). The Company’s Chief Operating Decision Maker (“CODM”) are the Chief Executive Officer and the Chief Financial Officer. While the Company derives income and capital appreciation by providing investments to companies across various industries, the Company and the CODM evaluate and monitor performance of the business on a consolidated basis. Further, each investment is evaluated and managed using similar processes and shared operations support functions such as deal origination, underwriting, and loan servicing as well as the administrative functions of human resources, legal, finance, and information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uses consolidated net investment income and net increase (decrease) in net assets resulting from operations when allocating resources and assessing the Company’s performance. Net investment income is comprised of consolidated total investment income (“segment revenues”) and consolidated total net operating expenses (“significant segment expenses”). The net increase (decrease) in net assets resulting from operations is comprised of consolidated net investment income, consolidated net realized gains (losses) from investments, and consolidated net change in unrealized gains (losses) from investments. These performance metrics are considered the key segment measures of profit or loss reviewed by the CODM. As the Company’s operations comprise a single reporting segment, the segment assets are reflected on the accompanying Consolidated Statements of Assets and Liabilities as Total Assets, investments held on the Consolidated Schedule of Investments, and the significant segment expenses are listed on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declared a special dividend effective May 5, 2026 of $0.07 per share. This dividend will be paid on May 28, 2026 to stockholders of record as of May 18,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the date of issuance of the consolidated financial statements included herein. Other than the items disclosed herein, there have been no subsequent events that occurred during such period that would require disclosure in this Form 10-Q or would be required to be recognized in the Consolidated Financial Statements as of and for the three and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our financial statements and related notes and other financial information appearing elsewhere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references to “we,” “us,” “our,” or the “Company,” refer to PhenixFIN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withdrawal, success and timing of business initiatives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political, economic or industry conditions, the interest rate environment or conditions affecting the financial and capital markets, which could result in changes in the value of our assets;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new or increased tariffs on various goods;</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105"/>
        <w:gridCol w:w="200"/>
        <w:gridCol w:w="30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increased competition;</w:t>
            </w:r>
          </w:p>
        </w:tc>
      </w:tr>
    </w:tbl>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105"/>
        <w:gridCol w:w="200"/>
        <w:gridCol w:w="41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future acquisitions and divestitures;</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5"/>
        <w:gridCol w:w="200"/>
        <w:gridCol w:w="56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prospects and the prospects of our portfolio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legislative and regulatory actions and reforms and regulatory, supervisory or enforcement actions of government agencies relating to us;</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05"/>
        <w:gridCol w:w="200"/>
        <w:gridCol w:w="53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contractual arrangements and relationships with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financings by us;</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5"/>
        <w:gridCol w:w="200"/>
        <w:gridCol w:w="39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foreign currency exchange rates;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changes to tax legislation and, generally, our tax position;</w:t>
            </w:r>
          </w:p>
        </w:tc>
      </w:tr>
    </w:tbl>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locate suitable investments for us and to monitor and administer our investments;</w:t>
            </w:r>
          </w:p>
        </w:tc>
      </w:tr>
    </w:tbl>
    <w:p>
      <w:pPr>
        <w:pStyle w:val="TextBody"/>
        <w:bidi w:val="0"/>
        <w:spacing w:before="0" w:after="0"/>
        <w:ind w:left="0"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attract and retain highly talented professionals;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105"/>
        <w:gridCol w:w="200"/>
        <w:gridCol w:w="87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conditions and our ability to access alternative debt markets and additional debt and equity capital;</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105"/>
        <w:gridCol w:w="200"/>
        <w:gridCol w:w="39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unfavorable resolution of legal proceedings;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associated with the effect of pandemics and other future market disruptions on our business prospects and the operational and financial performance of our portfolio companies, including our and their ability to achieve their respective objectives; and the effect of disruptions on our ability to continue to effectively manage our business;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risks and uncertainties relating to the possibility that the Company may explore strategic alternatives, including, but are not limited to: the timing, benefits and outcome of any exploration of strategic alternatives by the Company; potential disruptions in the Company’s business and stock price as a result of our exploration of any strategic alternatives; the ability to realize anticipated efficiencies, or strategic or financial benefits; potential transaction costs and risks; and the risk that any exploration of strategic alternatives may have an adverse effect on our existing business arrangements or relationships, including our ability to retain or hire key personnel. There is no assurance that any exploration of strategic alternatives will result in a transaction or other strategic change or outcome.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may include statements preceded by, followed by or that otherwise include the words “trend,” “opportunity,” “pipeline,” “believe,” “comfortable,” “expect,” “anticipate,” “current,” “intention,” “estimate,” “position,” “assume,” “potential,” “outlook,” “continue,” “remain,” “maintain,” “sustain,” “seek,” “achieve,” and similar expressions, or future or conditional verbs such as “will,” “would,” “should,” “could,” “may,” or similar expressions. The forward looking statements contained in this quarterly report on Form 10-Q involve risks and uncertainties. Our actual results could differ materially from those implied or expressed in the forward-looking statements for any reason, including the factors set forth as “Risk Factors” and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 forward-looking statements included in this report on information available to us on the date of this report, and we assume no obligation to update any such forward-looking statements. Actual results could differ materially from those anticipated in our forward-looking statements, and future results could differ materially from historical performance.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Securities and Exchange Commission (“SEC”), including annual reports on Form 10-K, registration statements on Form N-2,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Events and Market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Periods of market volatility have occurred and could continue to occur in response to pandemics or other events outside of our control, including terrorist attacks, acts of war, natural disasters, significant tariffs, public health crises or similar events. These types of events have adversely affected and could continue to adversely affect operating results for us and for our portfolio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large-scale invasion of Ukraine by Russia in February 2022 resulted in sanctions and market disruptions, including declines in regional and global stock markets, unusual volatility in global commodity markets and significant devaluations of Russian currency. The extent and duration of the military action are impossible to predict but could be significant. Market disruption caused by the Russian military action, and any counter measures or responses thereto (including international sanctions, a downgrade in a country’s credit rating, purchasing and financing restrictions, boycotts, tariffs, changes in consumer or purchaser preferences, cyberattacks and espionage) could continue to have severe adverse impacts on regional and/or global securities and commodities markets, including markets for oil and natural gas. These impacts may include reduced market liquidity, distress in credit markets, further disruption of global supply chains, increased risk of inflation, and limited access to investments in certain international markets and/or issuers.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ongoing instability and conflict in the Middle East, including tensions involving Iran, present additional risks to global markets. Heightened geopolitical tensions in the region may lead to disruptions in critical energy infrastructure and shipping routes, including key chokepoints such as the Strait of Hormuz, through which a significant portion of global oil supply transits. Any escalation involving Iran—whether through direct military confrontation, proxy conflicts, or expanded sanctions—could materially affect global oil production, transportation, and pricing, contributing to increased volatility in energy markets and broader financial markets. In addition, terrorist activities or regional conflicts may further exacerbate uncertainty, potentially resulting in supply chain interruptions, increased defense and security costs, and shifts in investor sentiment and capital flows. These developments could have cascading effects across global economies and financial systems, amplifying existing market disruptions and contributing to sustained periods of volatility and risk aversion.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and duration of these military actions, conflicts and resulting market disruptions are impossible to predict, but have been and could continue to be substantial, and any such market disruptions could affect our portfolio companies’ operations. As a result, our portfolio investments could decline in value or our valuation of them could become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subsequent events from March 31, 2026, through the filing date of this quarterly report on Form 10-Q. However, as the discussion in this Item 2. Management’s Discussion and Analysis of Financial Condition and Results of Operations relates to the Company’s financial statements for the quarterly period ended March 31, 2026, the analysis contained herein may not fully account for market event impacts. As of March 31, 2026, the Company valued its portfolio investments in conformity with U.S. generally accepted accounting principles (“GAAP”) based on the facts and circumstances known by the Company at that time or reasonably expected to be known at that time. Due to the overall volatility that market events may have caused during the months following our most recent valuation (as of March 31, 2026), any valuations conducted now or in the future in conformity with U.S. GAAP could result in a lower fair value of our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Federal Reserve raised short-term interest rates. Additional interest rate increases may come. Changing interest rates may have unpredictable effects on markets, may result in heightened market volatility and may detract from our performance to the extent we are exposed to such interest rates and/or volatility. In periods of rising interest rates, such as the current interest rate environment,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SOFR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general level of interest rates can be expected to lead to a change in the interest rates we receive on many of our debt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internally-managed non-diversified closed-end management investment company that has elected to be regulated as a BDC under the 1940 Act. In addition, we have elected, and intend to qualify annually, to be treated for U.S. federal income tax purposes as a RIC under Subchapter M of the Code. Through December 31, 2020, we were an externally managed company. Since January 1, 2021, we have operated under our present internalized management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and completed our initial public offering on January 20, 2011. Under our internalized management structure, our activities are managed by our senior professionals and are supervised by our board of directors, of which a majority of the members are independent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objective is to generate current income and capital appreciation. The management team seeks to achieve this objective primarily through making loans, private equity or other investments in privately-held companies. The Company may also make debt, equity or other investments in publicly-traded companies. These investments may also include investments in other BDCs, closed-end funds or REITs. We may also pursue other strategic opportunities and invest in other assets or operate other businesses to achieve our investment objective, such as operating and managing an asset-based lending business and an insurance business. The portfolio generally consists of senior secured first lien term loans, senior secured second lien term loans, senior secured bonds, preferred equity and common equity. Occasionally, we will receive warrants or other equity participation features which we believe will have the potential to increase total investment returns. Our loan and other debt investments are primarily rated below investment grade or are unrated. Investments in below investment grade securities are considered predominantly speculative with respect to the issuer’s capacity to pay interest and repay principal when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BDC,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200% (or 150% if, pursuant to the 1940 Act, certain requirements are met) after such borrowing, with certain limited exceptions. To maintain our RIC tax treatment, we must meet specified source-of-income and asset diversification requirements. In addition, to maintain our RIC tax treatment, we must timely distribute at least 90% of our net ordinary income and realized net short-term capital gains in excess of realized net long-term capital losses, if any, for the taxable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in the form of interest income on the debt that we hold and dividends and capital gains, if any, on our equity investments that we may acquire in portfolio companies. We invest our assets primarily in privately held companies with enterprise or asset values between $25 million and $250 million and generally focus on investment sizes of $10 million to $50 million. We believe that pursuing opportunities of this size offers several benefits including reduced competition, a larger investment opportunity set and the ability to minimize the impact of financial intermediaries. We expect our debt investments to bear interest at either a fixed or floating rate. Interest on debt will be payable generally either monthly or quarterly. In some cases our debt investments may provide for a portion of the interest to be PIK. To the extent interest is PIK,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recognized as earned.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internally managed structure, we bear all costs and expenses of our operations and transactions, including those relating to:</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organization and continued corporate existence;</w:t>
            </w:r>
          </w:p>
        </w:tc>
      </w:tr>
    </w:tbl>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105"/>
        <w:gridCol w:w="200"/>
        <w:gridCol w:w="90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calculating our net asset value (“NAV”) (including the cost and expenses of any independent valuation firms);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including travel expense, incurred by our professionals or payable to third parties performing due diligence on prospective portfolio companies, monitoring our investments and, if necessary, enforcing our rights;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payable on debt, incurred to finance our investments;</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all offerings of common shares and other securities;</w:t>
            </w:r>
          </w:p>
        </w:tc>
      </w:tr>
    </w:tbl>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05"/>
        <w:gridCol w:w="200"/>
        <w:gridCol w:w="68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costs associated with employing investment professionals and other staff;</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5"/>
        <w:gridCol w:w="200"/>
        <w:gridCol w:w="23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distributions on our shares;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administration fees payable under our administration agreement;</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05"/>
        <w:gridCol w:w="200"/>
        <w:gridCol w:w="28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custodial fees related to our assets</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105"/>
        <w:gridCol w:w="200"/>
        <w:gridCol w:w="69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payable to third parties relating to, or associated with, making investments;</w:t>
            </w:r>
          </w:p>
        </w:tc>
      </w:tr>
    </w:tbl>
    <w:p>
      <w:pPr>
        <w:pStyle w:val="TextBody"/>
        <w:bidi w:val="0"/>
        <w:spacing w:before="0" w:after="0"/>
        <w:ind w:left="0" w:right="0" w:hanging="0"/>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agent and custodial fees;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registration and listing fees;</w:t>
            </w:r>
          </w:p>
        </w:tc>
      </w:tr>
    </w:tbl>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05"/>
        <w:gridCol w:w="200"/>
        <w:gridCol w:w="28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federal, state and local taxes;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independent directors’ fees and expenses;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preparing and filing reports or other documents with the SEC or other regulators;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any reports, proxy statements or other notices to our stockholders, including printing costs;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105"/>
        <w:gridCol w:w="200"/>
        <w:gridCol w:w="1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fidelity bond;</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105"/>
        <w:gridCol w:w="200"/>
        <w:gridCol w:w="79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and officers/errors and omissions liability insurance, and any other insurance premiums;</w:t>
            </w:r>
          </w:p>
        </w:tc>
      </w:tr>
    </w:tbl>
    <w:p>
      <w:pPr>
        <w:pStyle w:val="TextBody"/>
        <w:bidi w:val="0"/>
        <w:spacing w:before="0" w:after="0"/>
        <w:ind w:left="52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operating lease of our office space;</w:t>
            </w:r>
          </w:p>
        </w:tc>
      </w:tr>
    </w:tbl>
    <w:p>
      <w:pPr>
        <w:pStyle w:val="TextBody"/>
        <w:bidi w:val="0"/>
        <w:spacing w:before="0" w:after="0"/>
        <w:ind w:left="0" w:right="0" w:hanging="0"/>
        <w:jc w:val="lef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05"/>
        <w:gridCol w:w="200"/>
        <w:gridCol w:w="26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indemnification payments; and</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5"/>
        <w:gridCol w:w="200"/>
        <w:gridCol w:w="6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 costs and expenses of administration, including audit and legal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Cash Incentive Plan</w:t>
      </w:r>
    </w:p>
    <w:p>
      <w:pPr>
        <w:pStyle w:val="TextBody"/>
        <w:bidi w:val="0"/>
        <w:spacing w:before="0" w:after="0"/>
        <w:ind w:left="8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2022, the board of directors of the Company adopted the PhenixFIN 2022 Long-Term Cash Incentive Plan (the “CIP”) pursuant to the recommendation by the Compensation Committee of the board of directors. The CIP provides for performance-based cash awards to key employees of the Company, as approved by the Compensation Committee, based on the achievement of pre-established financial goals for the approved performance period. The performance goals may be expressed as one or a combination of net asset value of the Company, net asset value per share of the Company’s common stock, changes in the market price of shares of the Company’s common stock, individual performance metrics and/or such other goals and objectives the Committee considers relevant in connection with accomplishing the purposes of the CIP.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pursuant to the CIP, the Compensation Committee, approved awards for Mr. Lorber and Ms. McMillan for the three-year performance period commencing on October 1, 2022 and ending on September 30, 2025 (the “2023 LTIP Plan”). Each participant is eligible to receive an amount of cash equal to a percentage of the target award amount based on the factors described above.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pursuant to the CIP, the Compensation Committee approved awards for Mr. Lorber and Ms. McMillan for the three-year performance period commencing on October 1, 2023 and ending on September 30, 2026 (the “2024 LTIP Plan”). Each participant is eligible to receive an amount of cash equal to a percentage of their target award amount based on the factors described above.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pursuant to the CIP, the Compensation Committee approved awards for Mr. Lorber and Ms. McMillan for the three-year performance period commencing on October 1, 2024 and ending on September 30, 2027 (the “2025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pursuant to the CIP, the Compensation Committee approved awards for Mr. Lorber and Ms. McMillan for the three-year performance period commencing on October 1, 2025 and ending on September 30, 2028 (the “2026 LTIP Plan”). Each participant is eligible to receive an amount of cash equal to a percentage of their target award amount based on the factors described above. The threshold, target, and maximum performance levels are structured similar to those of the CIP. The Compensation Committee, in approving the awards, evaluated each performance goal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Performance Award for each executive officer for the 2023 LTIP Plan, the 2024 LTIP Plan, the 2025 LTIP Plan, and the 2026 LTIP Plan is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92"/>
        <w:gridCol w:w="90"/>
        <w:gridCol w:w="212"/>
        <w:gridCol w:w="1039"/>
        <w:gridCol w:w="90"/>
        <w:gridCol w:w="90"/>
        <w:gridCol w:w="212"/>
        <w:gridCol w:w="1039"/>
        <w:gridCol w:w="90"/>
        <w:gridCol w:w="90"/>
        <w:gridCol w:w="190"/>
        <w:gridCol w:w="1132"/>
        <w:gridCol w:w="90"/>
        <w:gridCol w:w="90"/>
        <w:gridCol w:w="190"/>
        <w:gridCol w:w="1132"/>
        <w:gridCol w:w="137"/>
      </w:tblGrid>
      <w:tr>
        <w:trPr/>
        <w:tc>
          <w:tcPr>
            <w:tcW w:w="4292" w:type="dxa"/>
            <w:tcBorders>
              <w:bottom w:val="single" w:sz="12" w:space="0" w:color="000000"/>
            </w:tcBorders>
            <w:vAlign w:val="center"/>
          </w:tcPr>
          <w:p>
            <w:pPr>
              <w:pStyle w:val="TableContents"/>
              <w:bidi w:val="0"/>
              <w:spacing w:before="0" w:after="283"/>
              <w:jc w:val="left"/>
              <w:rPr>
                <w:b/>
              </w:rPr>
            </w:pPr>
            <w:r>
              <w:rPr>
                <w:b/>
              </w:rPr>
              <w:t>Name and Title</w:t>
            </w:r>
          </w:p>
        </w:tc>
        <w:tc>
          <w:tcPr>
            <w:tcW w:w="90" w:type="dxa"/>
            <w:tcBorders/>
            <w:tcMar>
              <w:bottom w:w="0" w:type="dxa"/>
            </w:tcMar>
            <w:vAlign w:val="center"/>
          </w:tcPr>
          <w:p>
            <w:pPr>
              <w:pStyle w:val="TableContents"/>
              <w:bidi w:val="0"/>
              <w:spacing w:before="0" w:after="283"/>
              <w:jc w:val="left"/>
              <w:rPr/>
            </w:pPr>
            <w:r>
              <w:rPr/>
              <w:t> </w:t>
            </w:r>
          </w:p>
        </w:tc>
        <w:tc>
          <w:tcPr>
            <w:tcW w:w="1251" w:type="dxa"/>
            <w:gridSpan w:val="2"/>
            <w:tcBorders>
              <w:bottom w:val="single" w:sz="12" w:space="0" w:color="000000"/>
            </w:tcBorders>
            <w:vAlign w:val="center"/>
          </w:tcPr>
          <w:p>
            <w:pPr>
              <w:pStyle w:val="TableContents"/>
              <w:bidi w:val="0"/>
              <w:spacing w:before="0" w:after="283"/>
              <w:jc w:val="center"/>
              <w:rPr>
                <w:b/>
              </w:rPr>
            </w:pPr>
            <w:r>
              <w:rPr>
                <w:b/>
              </w:rPr>
              <w:t xml:space="preserve">2023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51" w:type="dxa"/>
            <w:gridSpan w:val="2"/>
            <w:tcBorders>
              <w:bottom w:val="single" w:sz="12" w:space="0" w:color="000000"/>
            </w:tcBorders>
            <w:vAlign w:val="center"/>
          </w:tcPr>
          <w:p>
            <w:pPr>
              <w:pStyle w:val="TableContents"/>
              <w:bidi w:val="0"/>
              <w:spacing w:before="0" w:after="283"/>
              <w:jc w:val="center"/>
              <w:rPr>
                <w:b/>
              </w:rPr>
            </w:pPr>
            <w:r>
              <w:rPr>
                <w:b/>
              </w:rPr>
              <w:t xml:space="preserve">2024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12" w:space="0" w:color="000000"/>
            </w:tcBorders>
            <w:vAlign w:val="center"/>
          </w:tcPr>
          <w:p>
            <w:pPr>
              <w:pStyle w:val="TableContents"/>
              <w:bidi w:val="0"/>
              <w:spacing w:before="0" w:after="283"/>
              <w:jc w:val="center"/>
              <w:rPr>
                <w:b/>
              </w:rPr>
            </w:pPr>
            <w:r>
              <w:rPr>
                <w:b/>
              </w:rPr>
              <w:t xml:space="preserve">2025 LTIP </w:t>
              <w:br/>
              <w:t xml:space="preserve">Dollar Value </w:t>
              <w:br/>
              <w:t xml:space="preserve">of Target </w:t>
              <w:br/>
              <w:t>Award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22" w:type="dxa"/>
            <w:gridSpan w:val="2"/>
            <w:tcBorders>
              <w:bottom w:val="single" w:sz="12" w:space="0" w:color="000000"/>
            </w:tcBorders>
            <w:vAlign w:val="center"/>
          </w:tcPr>
          <w:p>
            <w:pPr>
              <w:pStyle w:val="TableContents"/>
              <w:bidi w:val="0"/>
              <w:spacing w:before="0" w:after="283"/>
              <w:jc w:val="center"/>
              <w:rPr>
                <w:b/>
              </w:rPr>
            </w:pPr>
            <w:r>
              <w:rPr>
                <w:b/>
              </w:rPr>
              <w:t xml:space="preserve">2026 LTIP </w:t>
              <w:br/>
              <w:t xml:space="preserve">Dollar Value </w:t>
              <w:br/>
              <w:t xml:space="preserve">of Target </w:t>
              <w:br/>
              <w:t>Award</w:t>
            </w:r>
          </w:p>
        </w:tc>
        <w:tc>
          <w:tcPr>
            <w:tcW w:w="137" w:type="dxa"/>
            <w:tcBorders/>
            <w:tcMar>
              <w:bottom w:w="0" w:type="dxa"/>
            </w:tcMar>
            <w:vAlign w:val="center"/>
          </w:tcPr>
          <w:p>
            <w:pPr>
              <w:pStyle w:val="TableContents"/>
              <w:bidi w:val="0"/>
              <w:spacing w:before="0" w:after="283"/>
              <w:jc w:val="left"/>
              <w:rPr/>
            </w:pPr>
            <w:r>
              <w:rPr/>
              <w:t> </w:t>
            </w:r>
          </w:p>
        </w:tc>
      </w:tr>
      <w:tr>
        <w:trPr/>
        <w:tc>
          <w:tcPr>
            <w:tcW w:w="4292" w:type="dxa"/>
            <w:tcBorders/>
            <w:shd w:fill="CCEEFF" w:val="clear"/>
            <w:tcMar>
              <w:bottom w:w="0" w:type="dxa"/>
            </w:tcMar>
            <w:vAlign w:val="center"/>
          </w:tcPr>
          <w:p>
            <w:pPr>
              <w:pStyle w:val="TableContents"/>
              <w:bidi w:val="0"/>
              <w:spacing w:before="0" w:after="283"/>
              <w:jc w:val="left"/>
              <w:rPr/>
            </w:pPr>
            <w:r>
              <w:rPr/>
              <w:t>David Lorber, Chairman of the Board and 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039"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w:t>
            </w:r>
          </w:p>
        </w:tc>
        <w:tc>
          <w:tcPr>
            <w:tcW w:w="1039" w:type="dxa"/>
            <w:tcBorders/>
            <w:shd w:fill="CCEEFF" w:val="clear"/>
            <w:tcMar>
              <w:bottom w:w="0" w:type="dxa"/>
            </w:tcMar>
            <w:vAlign w:val="center"/>
          </w:tcPr>
          <w:p>
            <w:pPr>
              <w:pStyle w:val="TableContents"/>
              <w:bidi w:val="0"/>
              <w:spacing w:before="0" w:after="283"/>
              <w:jc w:val="right"/>
              <w:rPr/>
            </w:pPr>
            <w:r>
              <w:rPr/>
              <w:t>890,000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1,000,000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132" w:type="dxa"/>
            <w:tcBorders/>
            <w:shd w:fill="CCEEFF" w:val="clear"/>
            <w:tcMar>
              <w:bottom w:w="0" w:type="dxa"/>
            </w:tcMar>
            <w:vAlign w:val="center"/>
          </w:tcPr>
          <w:p>
            <w:pPr>
              <w:pStyle w:val="TableContents"/>
              <w:bidi w:val="0"/>
              <w:spacing w:before="0" w:after="283"/>
              <w:jc w:val="right"/>
              <w:rPr/>
            </w:pPr>
            <w:r>
              <w:rPr/>
              <w:t>1,000,000</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4292" w:type="dxa"/>
            <w:tcBorders/>
            <w:tcMar>
              <w:bottom w:w="0" w:type="dxa"/>
            </w:tcMar>
            <w:vAlign w:val="center"/>
          </w:tcPr>
          <w:p>
            <w:pPr>
              <w:pStyle w:val="TableContents"/>
              <w:bidi w:val="0"/>
              <w:spacing w:before="0" w:after="283"/>
              <w:jc w:val="left"/>
              <w:rPr/>
            </w:pPr>
            <w:r>
              <w:rPr/>
              <w:t>Ellida McMillan, Chief Financial Officer</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12" w:type="dxa"/>
            <w:tcBorders/>
            <w:tcMar>
              <w:bottom w:w="0" w:type="dxa"/>
            </w:tcMar>
            <w:vAlign w:val="center"/>
          </w:tcPr>
          <w:p>
            <w:pPr>
              <w:pStyle w:val="TableContents"/>
              <w:bidi w:val="0"/>
              <w:spacing w:before="0" w:after="283"/>
              <w:jc w:val="left"/>
              <w:rPr/>
            </w:pPr>
            <w:r>
              <w:rPr/>
              <w:t> </w:t>
            </w:r>
          </w:p>
        </w:tc>
        <w:tc>
          <w:tcPr>
            <w:tcW w:w="1039" w:type="dxa"/>
            <w:tcBorders/>
            <w:tcMar>
              <w:bottom w:w="0" w:type="dxa"/>
            </w:tcMar>
            <w:vAlign w:val="center"/>
          </w:tcPr>
          <w:p>
            <w:pPr>
              <w:pStyle w:val="TableContents"/>
              <w:bidi w:val="0"/>
              <w:spacing w:before="0" w:after="283"/>
              <w:jc w:val="right"/>
              <w:rPr/>
            </w:pPr>
            <w:r>
              <w:rPr/>
              <w:t>380,000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425,000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0" w:type="dxa"/>
            <w:tcBorders/>
            <w:tcMar>
              <w:bottom w:w="0" w:type="dxa"/>
            </w:tcMar>
            <w:vAlign w:val="center"/>
          </w:tcPr>
          <w:p>
            <w:pPr>
              <w:pStyle w:val="TableContents"/>
              <w:bidi w:val="0"/>
              <w:spacing w:before="0" w:after="283"/>
              <w:jc w:val="left"/>
              <w:rPr/>
            </w:pPr>
            <w:r>
              <w:rPr/>
              <w:t> </w:t>
            </w:r>
          </w:p>
        </w:tc>
        <w:tc>
          <w:tcPr>
            <w:tcW w:w="1132" w:type="dxa"/>
            <w:tcBorders/>
            <w:tcMar>
              <w:bottom w:w="0" w:type="dxa"/>
            </w:tcMar>
            <w:vAlign w:val="center"/>
          </w:tcPr>
          <w:p>
            <w:pPr>
              <w:pStyle w:val="TableContents"/>
              <w:bidi w:val="0"/>
              <w:spacing w:before="0" w:after="283"/>
              <w:jc w:val="right"/>
              <w:rPr/>
            </w:pPr>
            <w:r>
              <w:rPr/>
              <w:t>425,000</w:t>
            </w:r>
          </w:p>
        </w:tc>
        <w:tc>
          <w:tcPr>
            <w:tcW w:w="137"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March 31, 2026, the Company recorded an expense of $66,875 and $133,750, respectively, for these awards. During the three and six months ended March 31, 2025, the Company recorded an expense of $303,848 and $630,168, respectively, for these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and Investment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our portfolio had a fair market value of approximately $295.8 million and $302.3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we received proceeds from sale and settlements of investments of $30.4 million, including principal proceeds, net realized gains on investments of $0.4 million and invested $28.6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we received proceeds from sale and settlements of investments of $74.0 million, including principal proceeds, net realized gains on investments of $0.1 million and invested $132.9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our average portfolio company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3"/>
        <w:gridCol w:w="90"/>
        <w:gridCol w:w="226"/>
        <w:gridCol w:w="947"/>
        <w:gridCol w:w="90"/>
        <w:gridCol w:w="90"/>
        <w:gridCol w:w="170"/>
        <w:gridCol w:w="710"/>
        <w:gridCol w:w="90"/>
        <w:gridCol w:w="90"/>
        <w:gridCol w:w="226"/>
        <w:gridCol w:w="947"/>
        <w:gridCol w:w="92"/>
        <w:gridCol w:w="92"/>
        <w:gridCol w:w="176"/>
        <w:gridCol w:w="737"/>
        <w:gridCol w:w="139"/>
      </w:tblGrid>
      <w:tr>
        <w:trPr/>
        <w:tc>
          <w:tcPr>
            <w:tcW w:w="529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2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139" w:type="dxa"/>
            <w:tcBorders/>
            <w:vAlign w:val="center"/>
          </w:tcPr>
          <w:p>
            <w:pPr>
              <w:pStyle w:val="TableContents"/>
              <w:bidi w:val="0"/>
              <w:spacing w:before="0" w:after="283"/>
              <w:ind w:left="0" w:right="0" w:hanging="180"/>
              <w:jc w:val="left"/>
              <w:rPr/>
            </w:pPr>
            <w:r>
              <w:rPr/>
              <w:t> </w:t>
            </w:r>
          </w:p>
        </w:tc>
      </w:tr>
      <w:tr>
        <w:trPr/>
        <w:tc>
          <w:tcPr>
            <w:tcW w:w="529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139" w:type="dxa"/>
            <w:tcBorders/>
            <w:vAlign w:val="center"/>
          </w:tcPr>
          <w:p>
            <w:pPr>
              <w:pStyle w:val="TableContents"/>
              <w:bidi w:val="0"/>
              <w:spacing w:before="0" w:after="283"/>
              <w:ind w:left="0" w:right="0" w:hanging="180"/>
              <w:jc w:val="left"/>
              <w:rPr/>
            </w:pPr>
            <w:r>
              <w:rPr/>
              <w:t> </w:t>
            </w:r>
          </w:p>
        </w:tc>
      </w:tr>
      <w:tr>
        <w:trPr/>
        <w:tc>
          <w:tcPr>
            <w:tcW w:w="5293" w:type="dxa"/>
            <w:tcBorders/>
            <w:shd w:fill="CCEEFF" w:val="clear"/>
            <w:vAlign w:val="center"/>
          </w:tcPr>
          <w:p>
            <w:pPr>
              <w:pStyle w:val="TableContents"/>
              <w:bidi w:val="0"/>
              <w:spacing w:before="0" w:after="283"/>
              <w:jc w:val="left"/>
              <w:rPr/>
            </w:pPr>
            <w:r>
              <w:rPr/>
              <w:t>Average portfolio company</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10,107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9,244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7" w:type="dxa"/>
            <w:tcBorders/>
            <w:shd w:fill="CCEEFF" w:val="clear"/>
            <w:vAlign w:val="center"/>
          </w:tcPr>
          <w:p>
            <w:pPr>
              <w:pStyle w:val="TableContents"/>
              <w:bidi w:val="0"/>
              <w:spacing w:before="0" w:after="283"/>
              <w:jc w:val="right"/>
              <w:rPr/>
            </w:pPr>
            <w:r>
              <w:rPr/>
              <w:t>9,011</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8,396</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5293" w:type="dxa"/>
            <w:tcBorders/>
            <w:vAlign w:val="center"/>
          </w:tcPr>
          <w:p>
            <w:pPr>
              <w:pStyle w:val="TableContents"/>
              <w:bidi w:val="0"/>
              <w:spacing w:before="0" w:after="283"/>
              <w:jc w:val="left"/>
              <w:rPr/>
            </w:pPr>
            <w:r>
              <w:rPr/>
              <w:t>Largest portfolio company by amortized cost and fair value, respectively</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55,729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55,356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51,967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48,470</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March 31, 2026 (dollars in thousands):</w:t>
      </w:r>
    </w:p>
    <w:p>
      <w:pPr>
        <w:pStyle w:val="TextBody"/>
        <w:bidi w:val="0"/>
        <w:spacing w:before="0" w:after="0"/>
        <w:ind w:left="0" w:right="0" w:hanging="0"/>
        <w:jc w:val="both"/>
        <w:rPr>
          <w:caps w:val="false"/>
          <w:smallCaps w:val="false"/>
        </w:rPr>
      </w:pPr>
      <w:r>
        <w:rPr>
          <w:caps w:val="false"/>
          <w:smallCaps w:val="false"/>
        </w:rPr>
        <w:t> </w:t>
      </w:r>
    </w:p>
    <w:tbl>
      <w:tblPr>
        <w:tblW w:w="9399" w:type="dxa"/>
        <w:jc w:val="left"/>
        <w:tblInd w:w="0" w:type="dxa"/>
        <w:tblLayout w:type="fixed"/>
        <w:tblCellMar>
          <w:top w:w="0" w:type="dxa"/>
          <w:left w:w="0" w:type="dxa"/>
          <w:bottom w:w="0" w:type="dxa"/>
          <w:right w:w="0" w:type="dxa"/>
        </w:tblCellMar>
      </w:tblPr>
      <w:tblGrid>
        <w:gridCol w:w="3695"/>
        <w:gridCol w:w="90"/>
        <w:gridCol w:w="202"/>
        <w:gridCol w:w="987"/>
        <w:gridCol w:w="90"/>
        <w:gridCol w:w="90"/>
        <w:gridCol w:w="155"/>
        <w:gridCol w:w="1020"/>
        <w:gridCol w:w="290"/>
        <w:gridCol w:w="90"/>
        <w:gridCol w:w="170"/>
        <w:gridCol w:w="830"/>
        <w:gridCol w:w="90"/>
        <w:gridCol w:w="90"/>
        <w:gridCol w:w="155"/>
        <w:gridCol w:w="1020"/>
        <w:gridCol w:w="335"/>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w:t>
              <w:br/>
              <w:t>Value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335" w:type="dxa"/>
            <w:tcBorders/>
            <w:vAlign w:val="center"/>
          </w:tcPr>
          <w:p>
            <w:pPr>
              <w:pStyle w:val="TableContents"/>
              <w:bidi w:val="0"/>
              <w:spacing w:before="0" w:after="283"/>
              <w:jc w:val="center"/>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127,359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39.3</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113,491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38.4</w:t>
            </w:r>
          </w:p>
        </w:tc>
        <w:tc>
          <w:tcPr>
            <w:tcW w:w="3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13,576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4.2</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13,399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4.5</w:t>
            </w:r>
          </w:p>
        </w:tc>
        <w:tc>
          <w:tcPr>
            <w:tcW w:w="3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2,138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0.8</w:t>
            </w:r>
          </w:p>
        </w:tc>
        <w:tc>
          <w:tcPr>
            <w:tcW w:w="3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tcMar>
              <w:bottom w:w="28" w:type="dxa"/>
            </w:tcMar>
            <w:vAlign w:val="center"/>
          </w:tcPr>
          <w:p>
            <w:pPr>
              <w:pStyle w:val="TableContents"/>
              <w:bidi w:val="0"/>
              <w:spacing w:before="0" w:after="283"/>
              <w:jc w:val="right"/>
              <w:rPr/>
            </w:pPr>
            <w:r>
              <w:rPr/>
              <w:t>180,339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55.8</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166,601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56.3</w:t>
            </w:r>
          </w:p>
        </w:tc>
        <w:tc>
          <w:tcPr>
            <w:tcW w:w="3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323,412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295,811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amortized cost and the fair value of investments as of September 30, 2025 (dollars in thousands):</w:t>
      </w:r>
    </w:p>
    <w:p>
      <w:pPr>
        <w:pStyle w:val="TextBody"/>
        <w:bidi w:val="0"/>
        <w:spacing w:before="0" w:after="0"/>
        <w:ind w:left="0" w:right="0" w:hanging="0"/>
        <w:jc w:val="both"/>
        <w:rPr>
          <w:caps w:val="false"/>
          <w:smallCaps w:val="false"/>
        </w:rPr>
      </w:pPr>
      <w:r>
        <w:rPr>
          <w:caps w:val="false"/>
          <w:smallCaps w:val="false"/>
        </w:rPr>
        <w:t> </w:t>
      </w:r>
    </w:p>
    <w:tbl>
      <w:tblPr>
        <w:tblW w:w="9399" w:type="dxa"/>
        <w:jc w:val="left"/>
        <w:tblInd w:w="0" w:type="dxa"/>
        <w:tblLayout w:type="fixed"/>
        <w:tblCellMar>
          <w:top w:w="0" w:type="dxa"/>
          <w:left w:w="0" w:type="dxa"/>
          <w:bottom w:w="0" w:type="dxa"/>
          <w:right w:w="0" w:type="dxa"/>
        </w:tblCellMar>
      </w:tblPr>
      <w:tblGrid>
        <w:gridCol w:w="3695"/>
        <w:gridCol w:w="90"/>
        <w:gridCol w:w="202"/>
        <w:gridCol w:w="987"/>
        <w:gridCol w:w="90"/>
        <w:gridCol w:w="90"/>
        <w:gridCol w:w="155"/>
        <w:gridCol w:w="1020"/>
        <w:gridCol w:w="290"/>
        <w:gridCol w:w="90"/>
        <w:gridCol w:w="170"/>
        <w:gridCol w:w="830"/>
        <w:gridCol w:w="90"/>
        <w:gridCol w:w="90"/>
        <w:gridCol w:w="155"/>
        <w:gridCol w:w="1020"/>
        <w:gridCol w:w="335"/>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Amortized </w:t>
              <w:b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3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Senior Secured First Lien Term Loans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987" w:type="dxa"/>
            <w:tcBorders/>
            <w:shd w:fill="CCEEFF" w:val="clear"/>
            <w:vAlign w:val="center"/>
          </w:tcPr>
          <w:p>
            <w:pPr>
              <w:pStyle w:val="TableContents"/>
              <w:bidi w:val="0"/>
              <w:spacing w:before="0" w:after="283"/>
              <w:jc w:val="right"/>
              <w:rPr/>
            </w:pPr>
            <w:r>
              <w:rPr/>
              <w:t>125,373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29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116,567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38.6</w:t>
            </w:r>
          </w:p>
        </w:tc>
        <w:tc>
          <w:tcPr>
            <w:tcW w:w="33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Senior Secured Notes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7" w:type="dxa"/>
            <w:tcBorders/>
            <w:vAlign w:val="center"/>
          </w:tcPr>
          <w:p>
            <w:pPr>
              <w:pStyle w:val="TableContents"/>
              <w:bidi w:val="0"/>
              <w:spacing w:before="0" w:after="283"/>
              <w:jc w:val="right"/>
              <w:rPr/>
            </w:pPr>
            <w:r>
              <w:rPr/>
              <w:t>17,039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17,457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5.8</w:t>
            </w:r>
          </w:p>
        </w:tc>
        <w:tc>
          <w:tcPr>
            <w:tcW w:w="3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Fund Investment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7" w:type="dxa"/>
            <w:tcBorders/>
            <w:shd w:fill="CCEEFF" w:val="clear"/>
            <w:vAlign w:val="center"/>
          </w:tcPr>
          <w:p>
            <w:pPr>
              <w:pStyle w:val="TableContents"/>
              <w:bidi w:val="0"/>
              <w:spacing w:before="0" w:after="283"/>
              <w:jc w:val="right"/>
              <w:rPr/>
            </w:pPr>
            <w:r>
              <w:rPr/>
              <w:t>2,194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0.7</w:t>
            </w:r>
          </w:p>
        </w:tc>
        <w:tc>
          <w:tcPr>
            <w:tcW w:w="3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Equity/Warrants</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7" w:type="dxa"/>
            <w:tcBorders>
              <w:bottom w:val="single" w:sz="12" w:space="0" w:color="000000"/>
            </w:tcBorders>
            <w:tcMar>
              <w:bottom w:w="28" w:type="dxa"/>
            </w:tcMar>
            <w:vAlign w:val="center"/>
          </w:tcPr>
          <w:p>
            <w:pPr>
              <w:pStyle w:val="TableContents"/>
              <w:bidi w:val="0"/>
              <w:spacing w:before="0" w:after="283"/>
              <w:jc w:val="right"/>
              <w:rPr/>
            </w:pPr>
            <w:r>
              <w:rPr/>
              <w:t>179,783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55.4</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166,021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54.9</w:t>
            </w:r>
          </w:p>
        </w:tc>
        <w:tc>
          <w:tcPr>
            <w:tcW w:w="3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Investments</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8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324,389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90"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302,272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33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income-bearing investment portfolio based upon cost represented 61.1% of our total portfolio of which 63.6% bore interest based on floating rates, such as SOFR, 10.3% bore interest at fixed rates, and 26.1% are income-producing equity investments. As of September 30, 2025, our income-bearing investment portfolio based upon cost represented 64.8% of our total portfolio of which 58.8% bore interest based on floating rates, such as SOFR, 14.9% bore interest at fixed rates, and 26.3% are income-producing equity investments. As of March 31, 2026, the Company had a weighted average yield of 13.1% on debt and other income producing investments. As of September 30, 2025, the Company had a weighted average yield of 12.8% on debt and other income producing investments. The weighted average yield of our total portfolio does not represent the total return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rate the risk profile of each of our investments based on the following categories: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5"/>
        <w:gridCol w:w="90"/>
        <w:gridCol w:w="9480"/>
      </w:tblGrid>
      <w:tr>
        <w:trPr/>
        <w:tc>
          <w:tcPr>
            <w:tcW w:w="63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Credit</w:t>
              <w:br/>
              <w:t>Rating</w:t>
            </w:r>
          </w:p>
        </w:tc>
        <w:tc>
          <w:tcPr>
            <w:tcW w:w="90" w:type="dxa"/>
            <w:tcBorders/>
            <w:tcMar>
              <w:bottom w:w="0" w:type="dxa"/>
            </w:tcMar>
            <w:vAlign w:val="center"/>
          </w:tcPr>
          <w:p>
            <w:pPr>
              <w:pStyle w:val="TableContents"/>
              <w:bidi w:val="0"/>
              <w:spacing w:before="0" w:after="283"/>
              <w:jc w:val="left"/>
              <w:rPr/>
            </w:pPr>
            <w:r>
              <w:rPr/>
              <w:t> </w:t>
            </w:r>
          </w:p>
        </w:tc>
        <w:tc>
          <w:tcPr>
            <w:tcW w:w="948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w:t>
            </w:r>
          </w:p>
        </w:tc>
      </w:tr>
      <w:tr>
        <w:trPr/>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Investments that are performing above expectations.</w:t>
            </w:r>
          </w:p>
        </w:tc>
      </w:tr>
      <w:tr>
        <w:trPr/>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 that are performing within expectations, with risks that are neutral or favorable compared to risks at the time of origination. All new investments are rated ‘2’.</w:t>
            </w:r>
          </w:p>
        </w:tc>
      </w:tr>
      <w:tr>
        <w:trPr/>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 that are performing below expectations and that require closer monitoring, but where no loss of interest, dividend or principal is expected. Companies rated ‘3’ may be out of compliance with financial covenants, however, loan payments are generally not past due.</w:t>
            </w:r>
          </w:p>
        </w:tc>
      </w:tr>
      <w:tr>
        <w:trPr/>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 that are performing below expectations and for which risk has increased materially since origination. Some loss of interest or dividend is expected but no loss of principal. In addition to the borrower being generally out of compliance with debt covenants, loan payments may be past due (but generally not more than 180 days past due).</w:t>
            </w:r>
          </w:p>
        </w:tc>
      </w:tr>
      <w:tr>
        <w:trPr/>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8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Investments that are performing substantially below expectations and whose risks have increased substantially since origination. Most or all of the debt covenants are out of compliance and payments are substantially delinquent. Some loss of principal is expected.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distribution of our investments on the 1 to 5 investment performance rating scale at fair value as of March 31, 2026 and September 30, 2025 (dollars in thousands):</w:t>
      </w:r>
    </w:p>
    <w:p>
      <w:pPr>
        <w:pStyle w:val="TextBody"/>
        <w:bidi w:val="0"/>
        <w:spacing w:before="0" w:after="0"/>
        <w:ind w:left="0" w:right="0" w:hanging="0"/>
        <w:jc w:val="both"/>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605"/>
        <w:gridCol w:w="90"/>
        <w:gridCol w:w="194"/>
        <w:gridCol w:w="950"/>
        <w:gridCol w:w="90"/>
        <w:gridCol w:w="90"/>
        <w:gridCol w:w="155"/>
        <w:gridCol w:w="1020"/>
        <w:gridCol w:w="245"/>
        <w:gridCol w:w="90"/>
        <w:gridCol w:w="193"/>
        <w:gridCol w:w="951"/>
        <w:gridCol w:w="98"/>
        <w:gridCol w:w="98"/>
        <w:gridCol w:w="155"/>
        <w:gridCol w:w="1020"/>
        <w:gridCol w:w="290"/>
      </w:tblGrid>
      <w:tr>
        <w:trPr/>
        <w:tc>
          <w:tcPr>
            <w:tcW w:w="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31,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 2025</w:t>
            </w:r>
          </w:p>
        </w:tc>
        <w:tc>
          <w:tcPr>
            <w:tcW w:w="29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605" w:type="dxa"/>
            <w:tcBorders/>
            <w:shd w:fill="CCEEFF" w:val="clear"/>
            <w:vAlign w:val="center"/>
          </w:tcPr>
          <w:p>
            <w:pPr>
              <w:pStyle w:val="TableContents"/>
              <w:bidi w:val="0"/>
              <w:spacing w:before="0" w:after="283"/>
              <w:jc w:val="left"/>
              <w:rPr/>
            </w:pPr>
            <w:r>
              <w:rPr/>
              <w:t>1</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9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r>
      <w:tr>
        <w:trPr/>
        <w:tc>
          <w:tcPr>
            <w:tcW w:w="605" w:type="dxa"/>
            <w:tcBorders/>
            <w:vAlign w:val="center"/>
          </w:tcPr>
          <w:p>
            <w:pPr>
              <w:pStyle w:val="TableContents"/>
              <w:bidi w:val="0"/>
              <w:spacing w:before="0" w:after="283"/>
              <w:jc w:val="left"/>
              <w:rPr/>
            </w:pPr>
            <w:r>
              <w:rPr/>
              <w:t>2</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269,693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91.2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276,582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91.5</w:t>
            </w:r>
          </w:p>
        </w:tc>
        <w:tc>
          <w:tcPr>
            <w:tcW w:w="290" w:type="dxa"/>
            <w:tcBorders/>
            <w:vAlign w:val="center"/>
          </w:tcPr>
          <w:p>
            <w:pPr>
              <w:pStyle w:val="TableContents"/>
              <w:bidi w:val="0"/>
              <w:spacing w:before="0" w:after="283"/>
              <w:jc w:val="left"/>
              <w:rPr/>
            </w:pPr>
            <w:r>
              <w:rPr/>
              <w:t>%</w:t>
            </w:r>
          </w:p>
        </w:tc>
      </w:tr>
      <w:tr>
        <w:trPr/>
        <w:tc>
          <w:tcPr>
            <w:tcW w:w="605" w:type="dxa"/>
            <w:tcBorders/>
            <w:shd w:fill="CCEEFF" w:val="clear"/>
            <w:vAlign w:val="center"/>
          </w:tcPr>
          <w:p>
            <w:pPr>
              <w:pStyle w:val="TableContents"/>
              <w:bidi w:val="0"/>
              <w:spacing w:before="0" w:after="283"/>
              <w:jc w:val="left"/>
              <w:rPr/>
            </w:pPr>
            <w:r>
              <w:rPr/>
              <w:t>3</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26,118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25,690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w:t>
            </w:r>
          </w:p>
        </w:tc>
      </w:tr>
      <w:tr>
        <w:trPr/>
        <w:tc>
          <w:tcPr>
            <w:tcW w:w="605" w:type="dxa"/>
            <w:tcBorders/>
            <w:vAlign w:val="center"/>
          </w:tcPr>
          <w:p>
            <w:pPr>
              <w:pStyle w:val="TableContents"/>
              <w:bidi w:val="0"/>
              <w:spacing w:before="0" w:after="283"/>
              <w:jc w:val="left"/>
              <w:rPr/>
            </w:pPr>
            <w:r>
              <w:rPr/>
              <w:t>4</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righ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605" w:type="dxa"/>
            <w:tcBorders/>
            <w:shd w:fill="CCEEFF" w:val="clear"/>
            <w:vAlign w:val="center"/>
          </w:tcPr>
          <w:p>
            <w:pPr>
              <w:pStyle w:val="TableContents"/>
              <w:bidi w:val="0"/>
              <w:spacing w:before="0" w:after="283"/>
              <w:jc w:val="left"/>
              <w:rPr/>
            </w:pPr>
            <w:r>
              <w:rPr/>
              <w:t>5</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w:t>
            </w:r>
          </w:p>
        </w:tc>
      </w:tr>
      <w:tr>
        <w:trPr/>
        <w:tc>
          <w:tcPr>
            <w:tcW w:w="60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950" w:type="dxa"/>
            <w:tcBorders>
              <w:bottom w:val="double" w:sz="10" w:space="0" w:color="000000"/>
            </w:tcBorders>
            <w:tcMar>
              <w:bottom w:w="28" w:type="dxa"/>
            </w:tcMar>
            <w:vAlign w:val="center"/>
          </w:tcPr>
          <w:p>
            <w:pPr>
              <w:pStyle w:val="TableContents"/>
              <w:bidi w:val="0"/>
              <w:spacing w:before="0" w:after="283"/>
              <w:jc w:val="right"/>
              <w:rPr/>
            </w:pPr>
            <w:r>
              <w:rPr/>
              <w:t>295,811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double" w:sz="10" w:space="0" w:color="000000"/>
            </w:tcBorders>
            <w:tcMar>
              <w:bottom w:w="28" w:type="dxa"/>
            </w:tcMar>
            <w:vAlign w:val="center"/>
          </w:tcPr>
          <w:p>
            <w:pPr>
              <w:pStyle w:val="TableContents"/>
              <w:bidi w:val="0"/>
              <w:spacing w:before="0" w:after="283"/>
              <w:jc w:val="left"/>
              <w:rPr/>
            </w:pPr>
            <w:r>
              <w:rPr/>
              <w:t>$</w:t>
            </w:r>
          </w:p>
        </w:tc>
        <w:tc>
          <w:tcPr>
            <w:tcW w:w="951" w:type="dxa"/>
            <w:tcBorders>
              <w:bottom w:val="double" w:sz="10" w:space="0" w:color="000000"/>
            </w:tcBorders>
            <w:tcMar>
              <w:bottom w:w="28" w:type="dxa"/>
            </w:tcMar>
            <w:vAlign w:val="center"/>
          </w:tcPr>
          <w:p>
            <w:pPr>
              <w:pStyle w:val="TableContents"/>
              <w:bidi w:val="0"/>
              <w:spacing w:before="0" w:after="283"/>
              <w:jc w:val="right"/>
              <w:rPr/>
            </w:pPr>
            <w:r>
              <w:rPr/>
              <w:t>302,272</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results for three and six months ended March 31, 2026 and 2025 are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5"/>
        <w:gridCol w:w="90"/>
        <w:gridCol w:w="240"/>
        <w:gridCol w:w="941"/>
        <w:gridCol w:w="176"/>
        <w:gridCol w:w="127"/>
        <w:gridCol w:w="240"/>
        <w:gridCol w:w="941"/>
        <w:gridCol w:w="125"/>
        <w:gridCol w:w="90"/>
        <w:gridCol w:w="215"/>
        <w:gridCol w:w="901"/>
        <w:gridCol w:w="158"/>
        <w:gridCol w:w="114"/>
        <w:gridCol w:w="215"/>
        <w:gridCol w:w="901"/>
        <w:gridCol w:w="176"/>
      </w:tblGrid>
      <w:tr>
        <w:trPr/>
        <w:tc>
          <w:tcPr>
            <w:tcW w:w="4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0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176" w:type="dxa"/>
            <w:tcBorders/>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76"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1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6" w:type="dxa"/>
            <w:tcBorders/>
            <w:vAlign w:val="center"/>
          </w:tcPr>
          <w:p>
            <w:pPr>
              <w:pStyle w:val="TableContents"/>
              <w:bidi w:val="0"/>
              <w:spacing w:before="0" w:after="283"/>
              <w:jc w:val="left"/>
              <w:rPr/>
            </w:pPr>
            <w:r>
              <w:rPr/>
              <w:t> </w:t>
            </w:r>
          </w:p>
        </w:tc>
      </w:tr>
      <w:tr>
        <w:trPr/>
        <w:tc>
          <w:tcPr>
            <w:tcW w:w="4555" w:type="dxa"/>
            <w:tcBorders/>
            <w:shd w:fill="CCEEFF" w:val="clear"/>
            <w:vAlign w:val="center"/>
          </w:tcPr>
          <w:p>
            <w:pPr>
              <w:pStyle w:val="TableContents"/>
              <w:bidi w:val="0"/>
              <w:spacing w:before="0" w:after="283"/>
              <w:jc w:val="left"/>
              <w:rPr/>
            </w:pPr>
            <w:r>
              <w:rPr/>
              <w:t>Total investment income</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5,198</w:t>
            </w:r>
          </w:p>
        </w:tc>
        <w:tc>
          <w:tcPr>
            <w:tcW w:w="176"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6,019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11,859</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12,236</w:t>
            </w:r>
          </w:p>
        </w:tc>
        <w:tc>
          <w:tcPr>
            <w:tcW w:w="176" w:type="dxa"/>
            <w:tcBorders/>
            <w:shd w:fill="CCEEFF" w:val="clear"/>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Less: Net expenses</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283"/>
              <w:jc w:val="right"/>
              <w:rPr/>
            </w:pPr>
            <w:r>
              <w:rPr/>
              <w:t>4,451</w:t>
            </w:r>
          </w:p>
        </w:tc>
        <w:tc>
          <w:tcPr>
            <w:tcW w:w="176"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tcMar>
              <w:bottom w:w="28" w:type="dxa"/>
            </w:tcMar>
            <w:vAlign w:val="center"/>
          </w:tcPr>
          <w:p>
            <w:pPr>
              <w:pStyle w:val="TableContents"/>
              <w:bidi w:val="0"/>
              <w:spacing w:before="0" w:after="283"/>
              <w:jc w:val="right"/>
              <w:rPr/>
            </w:pPr>
            <w:r>
              <w:rPr/>
              <w:t>5,053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8,985</w:t>
            </w:r>
          </w:p>
        </w:tc>
        <w:tc>
          <w:tcPr>
            <w:tcW w:w="158"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9,644</w:t>
            </w:r>
          </w:p>
        </w:tc>
        <w:tc>
          <w:tcPr>
            <w:tcW w:w="176" w:type="dxa"/>
            <w:tcBorders/>
            <w:vAlign w:val="center"/>
          </w:tcPr>
          <w:p>
            <w:pPr>
              <w:pStyle w:val="TableContents"/>
              <w:bidi w:val="0"/>
              <w:spacing w:before="0" w:after="283"/>
              <w:jc w:val="left"/>
              <w:rPr/>
            </w:pPr>
            <w:r>
              <w:rPr/>
              <w:t> </w:t>
            </w:r>
          </w:p>
        </w:tc>
      </w:tr>
      <w:tr>
        <w:trPr/>
        <w:tc>
          <w:tcPr>
            <w:tcW w:w="4555" w:type="dxa"/>
            <w:tcBorders/>
            <w:shd w:fill="CCEEFF" w:val="clear"/>
            <w:vAlign w:val="center"/>
          </w:tcPr>
          <w:p>
            <w:pPr>
              <w:pStyle w:val="TableContents"/>
              <w:bidi w:val="0"/>
              <w:spacing w:before="0" w:after="283"/>
              <w:jc w:val="left"/>
              <w:rPr/>
            </w:pPr>
            <w:r>
              <w:rPr/>
              <w:t>Net investment income/(loss)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747</w:t>
            </w:r>
          </w:p>
        </w:tc>
        <w:tc>
          <w:tcPr>
            <w:tcW w:w="176"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966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2,874</w:t>
            </w:r>
          </w:p>
        </w:tc>
        <w:tc>
          <w:tcPr>
            <w:tcW w:w="158"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2,592</w:t>
            </w:r>
          </w:p>
        </w:tc>
        <w:tc>
          <w:tcPr>
            <w:tcW w:w="176" w:type="dxa"/>
            <w:tcBorders/>
            <w:shd w:fill="CCEEFF" w:val="clear"/>
            <w:vAlign w:val="center"/>
          </w:tcPr>
          <w:p>
            <w:pPr>
              <w:pStyle w:val="TableContents"/>
              <w:bidi w:val="0"/>
              <w:spacing w:before="0" w:after="283"/>
              <w:jc w:val="left"/>
              <w:rPr/>
            </w:pPr>
            <w:r>
              <w:rPr/>
              <w:t> </w:t>
            </w:r>
          </w:p>
        </w:tc>
      </w:tr>
      <w:tr>
        <w:trPr/>
        <w:tc>
          <w:tcPr>
            <w:tcW w:w="4555" w:type="dxa"/>
            <w:tcBorders/>
            <w:vAlign w:val="center"/>
          </w:tcPr>
          <w:p>
            <w:pPr>
              <w:pStyle w:val="TableContents"/>
              <w:bidi w:val="0"/>
              <w:spacing w:before="0" w:after="283"/>
              <w:jc w:val="left"/>
              <w:rPr/>
            </w:pPr>
            <w:r>
              <w:rPr/>
              <w:t>Net realized gains (losses) on investments</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(1,119</w:t>
            </w:r>
          </w:p>
        </w:tc>
        <w:tc>
          <w:tcPr>
            <w:tcW w:w="176"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(1,065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(425</w:t>
            </w:r>
          </w:p>
        </w:tc>
        <w:tc>
          <w:tcPr>
            <w:tcW w:w="158"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104</w:t>
            </w:r>
          </w:p>
        </w:tc>
        <w:tc>
          <w:tcPr>
            <w:tcW w:w="176" w:type="dxa"/>
            <w:tcBorders/>
            <w:vAlign w:val="center"/>
          </w:tcPr>
          <w:p>
            <w:pPr>
              <w:pStyle w:val="TableContents"/>
              <w:bidi w:val="0"/>
              <w:spacing w:before="0" w:after="283"/>
              <w:jc w:val="left"/>
              <w:rPr/>
            </w:pPr>
            <w:r>
              <w:rPr/>
              <w:t> </w:t>
            </w:r>
          </w:p>
        </w:tc>
      </w:tr>
      <w:tr>
        <w:trPr/>
        <w:tc>
          <w:tcPr>
            <w:tcW w:w="4555" w:type="dxa"/>
            <w:tcBorders/>
            <w:shd w:fill="CCEEFF" w:val="clear"/>
            <w:vAlign w:val="center"/>
          </w:tcPr>
          <w:p>
            <w:pPr>
              <w:pStyle w:val="TableContents"/>
              <w:bidi w:val="0"/>
              <w:spacing w:before="0" w:after="283"/>
              <w:jc w:val="left"/>
              <w:rPr/>
            </w:pPr>
            <w:r>
              <w:rPr/>
              <w:t>Net change in unrealized gains (losses) on investments</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1,671</w:t>
            </w:r>
          </w:p>
        </w:tc>
        <w:tc>
          <w:tcPr>
            <w:tcW w:w="176"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(5,485</w:t>
            </w:r>
          </w:p>
        </w:tc>
        <w:tc>
          <w:tcPr>
            <w:tcW w:w="158"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(798</w:t>
            </w:r>
          </w:p>
        </w:tc>
        <w:tc>
          <w:tcPr>
            <w:tcW w:w="176" w:type="dxa"/>
            <w:tcBorders/>
            <w:shd w:fill="CCEEFF" w:val="clear"/>
            <w:vAlign w:val="center"/>
          </w:tcPr>
          <w:p>
            <w:pPr>
              <w:pStyle w:val="TableContents"/>
              <w:bidi w:val="0"/>
              <w:spacing w:before="0" w:after="283"/>
              <w:jc w:val="left"/>
              <w:rPr/>
            </w:pPr>
            <w:r>
              <w:rPr/>
              <w:t>)</w:t>
            </w:r>
          </w:p>
        </w:tc>
      </w:tr>
      <w:tr>
        <w:trPr/>
        <w:tc>
          <w:tcPr>
            <w:tcW w:w="4555" w:type="dxa"/>
            <w:tcBorders/>
            <w:vAlign w:val="center"/>
          </w:tcPr>
          <w:p>
            <w:pPr>
              <w:pStyle w:val="TableContents"/>
              <w:bidi w:val="0"/>
              <w:spacing w:before="0" w:after="283"/>
              <w:jc w:val="left"/>
              <w:rPr/>
            </w:pPr>
            <w:r>
              <w:rPr/>
              <w:t>Deferred tax benefit (expense)</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(166</w:t>
            </w:r>
          </w:p>
        </w:tc>
        <w:tc>
          <w:tcPr>
            <w:tcW w:w="176"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right"/>
              <w:rPr/>
            </w:pPr>
            <w:r>
              <w:rPr/>
              <w:t>(330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(589</w:t>
            </w:r>
          </w:p>
        </w:tc>
        <w:tc>
          <w:tcPr>
            <w:tcW w:w="158"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(330</w:t>
            </w:r>
          </w:p>
        </w:tc>
        <w:tc>
          <w:tcPr>
            <w:tcW w:w="176" w:type="dxa"/>
            <w:tcBorders/>
            <w:vAlign w:val="center"/>
          </w:tcPr>
          <w:p>
            <w:pPr>
              <w:pStyle w:val="TableContents"/>
              <w:bidi w:val="0"/>
              <w:spacing w:before="0" w:after="283"/>
              <w:jc w:val="left"/>
              <w:rPr/>
            </w:pPr>
            <w:r>
              <w:rPr/>
              <w:t>)</w:t>
            </w:r>
          </w:p>
        </w:tc>
      </w:tr>
      <w:tr>
        <w:trPr/>
        <w:tc>
          <w:tcPr>
            <w:tcW w:w="4555" w:type="dxa"/>
            <w:tcBorders/>
            <w:shd w:fill="CCEEFF" w:val="clear"/>
            <w:vAlign w:val="center"/>
          </w:tcPr>
          <w:p>
            <w:pPr>
              <w:pStyle w:val="TableContents"/>
              <w:bidi w:val="0"/>
              <w:spacing w:before="0" w:after="283"/>
              <w:jc w:val="left"/>
              <w:rPr/>
            </w:pPr>
            <w:r>
              <w:rPr/>
              <w:t>Loss on extinguishment of debt (See Note 5)</w:t>
            </w:r>
          </w:p>
        </w:tc>
        <w:tc>
          <w:tcPr>
            <w:tcW w:w="9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58" w:type="dxa"/>
            <w:tcBorders/>
            <w:shd w:fill="CCEEFF" w:val="clear"/>
            <w:vAlign w:val="center"/>
          </w:tcPr>
          <w:p>
            <w:pPr>
              <w:pStyle w:val="TableContents"/>
              <w:bidi w:val="0"/>
              <w:spacing w:before="0" w:after="283"/>
              <w:jc w:val="left"/>
              <w:rPr/>
            </w:pPr>
            <w:r>
              <w:rPr/>
              <w:t>)</w:t>
            </w:r>
          </w:p>
        </w:tc>
        <w:tc>
          <w:tcPr>
            <w:tcW w:w="114"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283"/>
              <w:ind w:left="0" w:right="0" w:hanging="180"/>
              <w:jc w:val="left"/>
              <w:rPr/>
            </w:pPr>
            <w:r>
              <w:rPr/>
              <w:t> </w:t>
            </w:r>
          </w:p>
        </w:tc>
      </w:tr>
      <w:tr>
        <w:trPr/>
        <w:tc>
          <w:tcPr>
            <w:tcW w:w="4555" w:type="dxa"/>
            <w:tcBorders/>
            <w:vAlign w:val="center"/>
          </w:tcPr>
          <w:p>
            <w:pPr>
              <w:pStyle w:val="TableContents"/>
              <w:bidi w:val="0"/>
              <w:spacing w:before="0" w:after="283"/>
              <w:jc w:val="left"/>
              <w:rPr>
                <w:b/>
              </w:rPr>
            </w:pPr>
            <w:r>
              <w:rPr>
                <w:b/>
              </w:rPr>
              <w:t>Net increase (decrease) in net assets resulting from operations</w:t>
            </w:r>
          </w:p>
        </w:tc>
        <w:tc>
          <w:tcPr>
            <w:tcW w:w="90"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tcMar>
              <w:bottom w:w="28" w:type="dxa"/>
            </w:tcMar>
            <w:vAlign w:val="center"/>
          </w:tcPr>
          <w:p>
            <w:pPr>
              <w:pStyle w:val="TableContents"/>
              <w:bidi w:val="0"/>
              <w:spacing w:before="0" w:after="283"/>
              <w:jc w:val="right"/>
              <w:rPr/>
            </w:pPr>
            <w:r>
              <w:rPr/>
              <w:t>1,133</w:t>
            </w:r>
          </w:p>
        </w:tc>
        <w:tc>
          <w:tcPr>
            <w:tcW w:w="176"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941" w:type="dxa"/>
            <w:tcBorders>
              <w:bottom w:val="double" w:sz="10" w:space="0" w:color="000000"/>
            </w:tcBorders>
            <w:tcMar>
              <w:bottom w:w="28" w:type="dxa"/>
            </w:tcMar>
            <w:vAlign w:val="center"/>
          </w:tcPr>
          <w:p>
            <w:pPr>
              <w:pStyle w:val="TableContents"/>
              <w:bidi w:val="0"/>
              <w:spacing w:before="0" w:after="283"/>
              <w:jc w:val="right"/>
              <w:rPr/>
            </w:pPr>
            <w:r>
              <w:rPr/>
              <w:t>(896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5"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(3,637</w:t>
            </w:r>
          </w:p>
        </w:tc>
        <w:tc>
          <w:tcPr>
            <w:tcW w:w="158" w:type="dxa"/>
            <w:tcBorders/>
            <w:vAlign w:val="center"/>
          </w:tcPr>
          <w:p>
            <w:pPr>
              <w:pStyle w:val="TableContents"/>
              <w:bidi w:val="0"/>
              <w:spacing w:before="0" w:after="283"/>
              <w:jc w:val="left"/>
              <w:rPr/>
            </w:pPr>
            <w:r>
              <w:rPr/>
              <w:t>)</w:t>
            </w:r>
          </w:p>
        </w:tc>
        <w:tc>
          <w:tcPr>
            <w:tcW w:w="114" w:type="dxa"/>
            <w:tcBorders/>
            <w:vAlign w:val="center"/>
          </w:tcPr>
          <w:p>
            <w:pPr>
              <w:pStyle w:val="TableContents"/>
              <w:bidi w:val="0"/>
              <w:spacing w:before="0" w:after="283"/>
              <w:jc w:val="left"/>
              <w:rPr/>
            </w:pPr>
            <w:r>
              <w:rPr/>
              <w:t> </w:t>
            </w:r>
          </w:p>
        </w:tc>
        <w:tc>
          <w:tcPr>
            <w:tcW w:w="215"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1,568</w:t>
            </w:r>
          </w:p>
        </w:tc>
        <w:tc>
          <w:tcPr>
            <w:tcW w:w="1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investment income totaled $5.2 million, of which $4.1 million was attributable to portfolio interest, approximately $0.9 million was attributable to dividend income, $0.2 million was attributable to fee and other income, and $0.0 million was attributable to interest on cash and cash equivalents. For the six months ended March 31, 2026, investment income totaled $11.9 million, of which $8.0 million was attributable to portfolio interest, approximately $3.4 million was attributable to dividend income, $0.4 million was attributable to fee and other income, and $0.1 million was attributable to interest on cash and cash equivalents. Dividend income was received from nine investments during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investment income totaled $6.0 million, of which $3.9 million was attributable to portfolio interest, approximately $2.1 million was attributable to dividend income, $0.0 million was attributable to fee and other income, and $0.0 million was attributable to interest on cash and cash equivalents. For the six months ended March 31, 2025, investment income totaled $12.2 million, of which $7.8 million was attributable to portfolio interest, approximately $4.2 million was attributable to dividend income, $0.1 million was attributable to fee and other income, and $0.1 million was attributable to interest on cash and cash equivalents. Dividend income was received from eight investments during the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and six months ended March 31, 2026 and 2025 are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9341" w:type="dxa"/>
        <w:jc w:val="left"/>
        <w:tblInd w:w="0" w:type="dxa"/>
        <w:tblLayout w:type="fixed"/>
        <w:tblCellMar>
          <w:top w:w="0" w:type="dxa"/>
          <w:left w:w="0" w:type="dxa"/>
          <w:bottom w:w="0" w:type="dxa"/>
          <w:right w:w="0" w:type="dxa"/>
        </w:tblCellMar>
      </w:tblPr>
      <w:tblGrid>
        <w:gridCol w:w="3020"/>
        <w:gridCol w:w="90"/>
        <w:gridCol w:w="311"/>
        <w:gridCol w:w="1079"/>
        <w:gridCol w:w="164"/>
        <w:gridCol w:w="164"/>
        <w:gridCol w:w="311"/>
        <w:gridCol w:w="1079"/>
        <w:gridCol w:w="90"/>
        <w:gridCol w:w="90"/>
        <w:gridCol w:w="281"/>
        <w:gridCol w:w="975"/>
        <w:gridCol w:w="148"/>
        <w:gridCol w:w="148"/>
        <w:gridCol w:w="281"/>
        <w:gridCol w:w="975"/>
        <w:gridCol w:w="135"/>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March 31,</w:t>
            </w:r>
          </w:p>
        </w:tc>
        <w:tc>
          <w:tcPr>
            <w:tcW w:w="13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2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Interest and financing expenses</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2,310</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079" w:type="dxa"/>
            <w:tcBorders/>
            <w:shd w:fill="CCEEFF" w:val="clear"/>
            <w:vAlign w:val="center"/>
          </w:tcPr>
          <w:p>
            <w:pPr>
              <w:pStyle w:val="TableContents"/>
              <w:bidi w:val="0"/>
              <w:spacing w:before="0" w:after="283"/>
              <w:jc w:val="right"/>
              <w:rPr/>
            </w:pPr>
            <w:r>
              <w:rPr/>
              <w:t>2,579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4,742</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5,125</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Salaries and benefits</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1,017</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1,986</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2,214</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Professional fees, net</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410</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578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800</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996</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362</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308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723</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529</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Directors fees</w:t>
            </w:r>
          </w:p>
        </w:tc>
        <w:tc>
          <w:tcPr>
            <w:tcW w:w="9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169</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373</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408</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Administrator expenses</w:t>
            </w:r>
          </w:p>
        </w:tc>
        <w:tc>
          <w:tcPr>
            <w:tcW w:w="9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109</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right"/>
              <w:rPr/>
            </w:pPr>
            <w:r>
              <w:rPr/>
              <w:t>113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211</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197</w:t>
            </w:r>
          </w:p>
        </w:tc>
        <w:tc>
          <w:tcPr>
            <w:tcW w:w="13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Insurance expenses</w:t>
            </w:r>
          </w:p>
        </w:tc>
        <w:tc>
          <w:tcPr>
            <w:tcW w:w="90" w:type="dxa"/>
            <w:tcBorders/>
            <w:shd w:fill="CCEEFF" w:val="clear"/>
            <w:vAlign w:val="center"/>
          </w:tcPr>
          <w:p>
            <w:pPr>
              <w:pStyle w:val="TableContents"/>
              <w:bidi w:val="0"/>
              <w:spacing w:before="0" w:after="283"/>
              <w:jc w:val="left"/>
              <w:rPr/>
            </w:pPr>
            <w:r>
              <w:rPr/>
              <w:t> </w:t>
            </w:r>
          </w:p>
        </w:tc>
        <w:tc>
          <w:tcPr>
            <w:tcW w:w="3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16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3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150</w:t>
            </w:r>
          </w:p>
        </w:tc>
        <w:tc>
          <w:tcPr>
            <w:tcW w:w="14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CCEEFF" w:val="clear"/>
            <w:tcMar>
              <w:bottom w:w="28" w:type="dxa"/>
            </w:tcMar>
            <w:vAlign w:val="center"/>
          </w:tcPr>
          <w:p>
            <w:pPr>
              <w:pStyle w:val="TableContents"/>
              <w:bidi w:val="0"/>
              <w:spacing w:before="0" w:after="283"/>
              <w:jc w:val="right"/>
              <w:rPr/>
            </w:pPr>
            <w:r>
              <w:rPr/>
              <w:t>175</w:t>
            </w:r>
          </w:p>
        </w:tc>
        <w:tc>
          <w:tcPr>
            <w:tcW w:w="13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Total Expenses</w:t>
            </w:r>
          </w:p>
        </w:tc>
        <w:tc>
          <w:tcPr>
            <w:tcW w:w="90" w:type="dxa"/>
            <w:tcBorders/>
            <w:vAlign w:val="center"/>
          </w:tcPr>
          <w:p>
            <w:pPr>
              <w:pStyle w:val="TableContents"/>
              <w:bidi w:val="0"/>
              <w:spacing w:before="0" w:after="283"/>
              <w:jc w:val="left"/>
              <w:rPr/>
            </w:pPr>
            <w:r>
              <w:rPr/>
              <w:t> </w:t>
            </w:r>
          </w:p>
        </w:tc>
        <w:tc>
          <w:tcPr>
            <w:tcW w:w="311" w:type="dxa"/>
            <w:tcBorders>
              <w:bottom w:val="double" w:sz="10" w:space="0" w:color="000000"/>
            </w:tcBorders>
            <w:tcMar>
              <w:bottom w:w="28" w:type="dxa"/>
            </w:tcMar>
            <w:vAlign w:val="center"/>
          </w:tcPr>
          <w:p>
            <w:pPr>
              <w:pStyle w:val="TableContents"/>
              <w:bidi w:val="0"/>
              <w:spacing w:before="0" w:after="283"/>
              <w:jc w:val="left"/>
              <w:rPr/>
            </w:pPr>
            <w:r>
              <w:rPr/>
              <w:t>$</w:t>
            </w:r>
          </w:p>
        </w:tc>
        <w:tc>
          <w:tcPr>
            <w:tcW w:w="1079" w:type="dxa"/>
            <w:tcBorders>
              <w:bottom w:val="double" w:sz="10" w:space="0" w:color="000000"/>
            </w:tcBorders>
            <w:tcMar>
              <w:bottom w:w="28" w:type="dxa"/>
            </w:tcMar>
            <w:vAlign w:val="center"/>
          </w:tcPr>
          <w:p>
            <w:pPr>
              <w:pStyle w:val="TableContents"/>
              <w:bidi w:val="0"/>
              <w:spacing w:before="0" w:after="283"/>
              <w:jc w:val="right"/>
              <w:rPr/>
            </w:pPr>
            <w:r>
              <w:rPr/>
              <w:t>4,451</w:t>
            </w:r>
          </w:p>
        </w:tc>
        <w:tc>
          <w:tcPr>
            <w:tcW w:w="16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311" w:type="dxa"/>
            <w:tcBorders>
              <w:bottom w:val="double" w:sz="10" w:space="0" w:color="000000"/>
            </w:tcBorders>
            <w:tcMar>
              <w:bottom w:w="28" w:type="dxa"/>
            </w:tcMar>
            <w:vAlign w:val="center"/>
          </w:tcPr>
          <w:p>
            <w:pPr>
              <w:pStyle w:val="TableContents"/>
              <w:bidi w:val="0"/>
              <w:spacing w:before="0" w:after="283"/>
              <w:jc w:val="left"/>
              <w:rPr/>
            </w:pPr>
            <w:r>
              <w:rPr/>
              <w:t>$</w:t>
            </w:r>
          </w:p>
        </w:tc>
        <w:tc>
          <w:tcPr>
            <w:tcW w:w="1079" w:type="dxa"/>
            <w:tcBorders>
              <w:bottom w:val="double" w:sz="10" w:space="0" w:color="000000"/>
            </w:tcBorders>
            <w:tcMar>
              <w:bottom w:w="28" w:type="dxa"/>
            </w:tcMar>
            <w:vAlign w:val="center"/>
          </w:tcPr>
          <w:p>
            <w:pPr>
              <w:pStyle w:val="TableContents"/>
              <w:bidi w:val="0"/>
              <w:spacing w:before="0" w:after="283"/>
              <w:jc w:val="right"/>
              <w:rPr/>
            </w:pPr>
            <w:r>
              <w:rPr/>
              <w:t>5,053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bottom w:val="double" w:sz="10" w:space="0" w:color="000000"/>
            </w:tcBorders>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tcMar>
              <w:bottom w:w="28" w:type="dxa"/>
            </w:tcMar>
            <w:vAlign w:val="center"/>
          </w:tcPr>
          <w:p>
            <w:pPr>
              <w:pStyle w:val="TableContents"/>
              <w:bidi w:val="0"/>
              <w:spacing w:before="0" w:after="283"/>
              <w:jc w:val="right"/>
              <w:rPr/>
            </w:pPr>
            <w:r>
              <w:rPr/>
              <w:t>8,985</w:t>
            </w:r>
          </w:p>
        </w:tc>
        <w:tc>
          <w:tcPr>
            <w:tcW w:w="14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281" w:type="dxa"/>
            <w:tcBorders>
              <w:bottom w:val="double" w:sz="10" w:space="0" w:color="000000"/>
            </w:tcBorders>
            <w:tcMar>
              <w:bottom w:w="28" w:type="dxa"/>
            </w:tcMar>
            <w:vAlign w:val="center"/>
          </w:tcPr>
          <w:p>
            <w:pPr>
              <w:pStyle w:val="TableContents"/>
              <w:bidi w:val="0"/>
              <w:spacing w:before="0" w:after="283"/>
              <w:jc w:val="left"/>
              <w:rPr/>
            </w:pPr>
            <w:r>
              <w:rPr/>
              <w:t>$</w:t>
            </w:r>
          </w:p>
        </w:tc>
        <w:tc>
          <w:tcPr>
            <w:tcW w:w="975" w:type="dxa"/>
            <w:tcBorders>
              <w:bottom w:val="double" w:sz="10" w:space="0" w:color="000000"/>
            </w:tcBorders>
            <w:tcMar>
              <w:bottom w:w="28" w:type="dxa"/>
            </w:tcMar>
            <w:vAlign w:val="center"/>
          </w:tcPr>
          <w:p>
            <w:pPr>
              <w:pStyle w:val="TableContents"/>
              <w:bidi w:val="0"/>
              <w:spacing w:before="0" w:after="283"/>
              <w:jc w:val="right"/>
              <w:rPr/>
            </w:pPr>
            <w:r>
              <w:rPr/>
              <w:t>9,644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total operating expenses decreased by $(0.6) million, or (11.9)% compared to the three months ended March 31, 2025. For the six months ended March 31, 2026, total operating expenses decreased by $(0.7) million, or (6.8)% compared to the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and Financing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financing expenses for the three months ended March 31, 2026 decreased by $(0.3) million, or (10.4)% compared to the three months ended March 31, 2025. The decrease in interest and financing expenses for the three and six months ended March 31, 2026 was primarily due to borrowing at lower floating interest rates on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Professional Fees and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and general and administrative expenses for the three months ended March 31, 2026 increased by $(0.1) million, or (12.9)% compared to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Realized Gains/Losses from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realized gains or losses by the difference between the net proceeds from the disposition and the amortized cost basis of an investment, without regard to unrealized gains or losses previously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recognized $1.1 million of realized losses on our portfolio investments. The realized losses for the three months ended March 31, 2026 were primarily due to realized losses on sales of Copper Property CTL Pass Through Trust for $0.6 million and Chimera Investment Corp for $0.4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2026, we recognized $0.4 million of realized losses on our portfolio investments. The realized losses for the six months ended March 31, 2026 were primarily due to realized losses on sales of Copper Property CTL Pass Through Trust for $0.6 million and Chimera Investment Corp for $0.4 million, offset by realized gains on sales of Neptune Bidco US Inc. for $0.4 million and CB&amp;L Associates Holdco I, LLC for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we recognized $1.1 million of realized losses on our portfolio investments. During the six months ended March 31, 2025, we recognized $0.1 of realized gain on our portfolio investments. The realized losses for the three months ended March 31, 2025 were due to the realized loss of $1.9 million on Point.360, offset by realized gains on Altisource S.A.R.L., CB&amp;L Associates Holdco I, LLC, and All Around Roustabout, LLC of $0.7 million. The realized gains for six months ended were primarily due to a realized gain on PHH Mortgage Corp. for $0.8 million, a realized gain on Chimera Investment Corp for $0.3 million, and realized gains on Altisource S.A.R.L., CB&amp;L Associates Holdco I, LLC, and All Around Roustabout, LLC of $0.7 million, offset by a realized loss of $1.9 million on Point.360.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Unrealized Appreciation/Depreciation on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unrealized appreciation or depreciation on investments reflects the net change in the fair value of our investment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had $1.7 million of net unrealized appreciation on investments. The net unrealized appreciation resulted primarily from unrealized gains on FST Holdings Parent for $1.2 million, NVTN LLC for $1.2 million, and WHI Global LLC for $1.0 million, offset by unrealized losses on MB Precision Holdings LLC for $1.4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we had $(5.5) million of net unrealized depreciation on investments. The net unrealized depreciation resulted primarily from unrealized losses on NVTN LLC for $3.7 million, Altisource S.A.R.L. for $3.4 million, and MB Precision Holdings LLC for $1.5 million, offset by unrealized gains on ECC Capital Corp for $3.0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we had $(0.5) million of net unrealized depreciation on investments. The net unrealized depreciation resulted from unrealized depreciation on JFL-NGS-WCS Partners, LLC for $0.9 million, NVTN LLC for $0.9 million, ECC Capital Corp. for $0.4 million, and Staples, Inc. for $0.3 million, offset by the reversal of the unrealized loss on Point.360 for $2.1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we had $(0.8) million of net unrealized depreciation on investments. The net unrealized depreciation resulted from unrealized depreciation on NVTN LLC of $1.1 million, Black Angus Steakhouses, LLC for $1.0 million, and NSG Captive Inc. for $0.8 million, offset by the reversal of the unrealized loss on Point.360 for $2.1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Deferred Taxes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Certain consolidated subsidiaries of ours are subject to U.S. federal and state income taxes. These taxable subsidiaries are not consolidated with the Company for income tax purposes, but are consolidated for GAAP purposes, and may generate income tax liabilities or assets from temporary differences in the recognition of items for financial reporting and income tax purposes at the subsidiaries. For the three and six months ended March 31, 2026 the Company recorded a change in provision for deferred taxes of $(166,015) and $(589,444),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Net Assets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we recorded a net increase in net assets resulting from operations of $1.1 million compared to a net decrease in net assets resulting from operations of $(0.9) million for the three months ended March 31, 2025. Based on 1,972,943 and 2,019,778 weighted average common shares outstanding for the three months ended March 31, 2026 and 2025, respectively, our per share net increase (decrease) in net assets resulting from operations was $0.57 for the three months ended March 31, 2026 and $(0.44)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we distribute substantially all of our taxable net income to our stockholders and have an ongoing need to raise additional capital for investment purposes. To fund growth, we have a number of alternatives available to increase capital, including raising equity, increasing debt, and funding from operational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capital resources historically have been generated primarily from the net proceeds of public offerings of common stock, advances from the Credit Facility and net proceeds from the issuance of notes as well as cash flows from operations. In the future, we may generate cash from future offerings of securities, future borrowings and cash flows from operations, including interest earned from the temporary investment of cash in U.S. government securities and other high-quality debt investments that mature in one year or less. Our primary use of funds is investments in our targeted asset classes, cash distributions to our stockholders,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we had $3.1 million and $7.3 million, respectively, in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RIC tax treatment under the Code, we intend to distribute to our stockholders substantially all of our taxable income, but we may also elect to periodically spill over certain excess undistributed taxable income from one tax year into the next tax year. In addition, as a BDC, for each taxable year we generally are required to meet a coverage ratio of total assets to total senior securities, which include borrowings and any preferred stock we may issue in the future, of at least 200% (or 150% if, pursuant to the 1940 Act, certain requirements are met). This requirement limits the amount that we may borrow.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2021, the Company announced that its board of directors approved a share repurchase program. On February 9, 2022, the Board of Directors approved the expansion of the amount authorized for repurchase under the Company’s share repurchase program from $15 million to $25 million. On February 8, 2023, the Board of Directors approved the further expansion of the amount authorized for repurchase under the Company’s share repurchase program from $25 million to $35 million. Under the share repurchase program, the Company repurchased an aggregate of 787,425 shares of common stock through March 31, 2026, or 28.9% of shares outstanding as of the program’s inception, with a total cost of $32.2 million. The total remaining amount authorized under the expanded share repurchase program at March 31, 2026 was approximately $2.8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Company and its wholly-owned subsidiaries executed a three-year, $50 million revolving credit facility (the “Credit Facility”) with WoodForest Bank, N.A. (“WoodForest”), Valley National Bank, and Axiom Bank, (collectively, the “Lenders”). WoodForest was the administrative agent, sole bookrunner and sole lead arranger. The Credit Facility had an original maturity date of December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loans under the Credit Facility bear interest at a monthly rate of Term SOFR + 2.90%. The Company is also subject to a commitment fee of 0.25%, which shall accrue on the actual daily amount of the undrawn portion of the revolving credit. The Credit Facility contains customary representations and warranties and affirmative and negative covenants. The Credit Facility contains customary events of default for credit facilities of this type, including (without limitation): nonpayment of principal, interest, fees or other amounts after a stated grace period; inaccuracy of material representations and warranties; change of control; violations of covenants, subject in certain cases to stated cure periods; and certain bankruptcies and liquidations. If an event of default occurs and is continuing, the Company may be required to repay all amounts outstanding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“First Amendment Effective Date”), in order to increase the size of the Credit Facility, the parties to the Credit Facility amended the terms of the Credit Facility, effective as of the First Amendment Effective Date (the “First Amendment”). The First Amendment increased the principal amount of the loan available under the Credit Facility by $12.5 million to $62.5 million. All other material terms of the Credit Facility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the loan available under the Credit Facility by $25 million to $87.5 million. All other material terms of the Credit Facility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$50,000,000 pursuant to an uncommitted accordion provision) and appointed BankUnited, N.A. to assume all agency and syndication responsibilities from the prior agent and lenders. Outstanding loans under the terms of the Amendment bear a monthly interest rate ranging from ABR + 1.35% to ABR + 1.75% for any alternative base rate loans and from Term SOFR + 2.35% to Term SOFR + 2.75% for any term benchmark loans based on the total debt to tangible net worth ratio. The Amendment also extended the term of the credit facility to April 17, 2030, five years from the Effective Date. Other material terms remain substantially unchanged. As of March 31, 2026, there was $90.0 million of outstanding borrowings by the Company under the Credit Facility. As of March 31, 2026, the Company was in compliance in all respects with the terms of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2021, the Company entered into an underwriting agreement, by and between the Company and Oppenheimer &amp; Co. Inc., as representative of the several underwriters named in Exhibit A thereto, in connection with the issuance and sale (the “Offering”) of $57,500,000 (including the underwriters’ option to purchase up to $7,500,000 aggregate principal amount) in aggregate principal amount of its 5.25% Notes due 2028 (the “2028 Notes”). The Offering occurred on November 15, 2021, pursuant to the Company’s effective shelf registration statement on Form N-2 previously filed with the SEC, as supplemented by a preliminary prospectus supplement dated November 8, 2021, the pricing term sheet dated November 9, 2021 and a final prospectus supplement dated November 9, 2021. Effective November 16, 2021, the 2028 Notes began trading on the NASDAQ Global Market under the trading symbol “PFXNZ.”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the Company and U.S. Bank National Association, as trustee entered into a Fourth Supplemental Indenture to its base Indenture, dated February 7, 2012, between the Company and the Trustee. The Fourth Supplemental Indenture relates to the Offering of the 2028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2028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 2024, the Company issued a 5.25% note due November 1, 2028 in the principal amount of $1,661,498 to National Security Insurance Company (the “2028 Promissory Note”). The financial terms of the note are substantially the same as the 2028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the Company redeemed in aggregate its principal amount of the issued and outstanding 2028 Promissory Note, comprising all issued and outstanding 2028 Promissory Notes, at a price equal to the closing market price of the 2028 Notes on December 5, 2025, plus accrued and unpaid interest thereon from November 1, 2025, through, but excluding, December 8, 2025 in accordance with the terms of the indenture governing the 2028 Promissory Note. The redemption was completed on December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we had commitments under loan and financing agreements to fund up to $3.4 million to six portfolio companies and $5.5 million to six portfolio companies, respectively. These commitments are primarily composed of senior secured term loans and revolvers, and the determination of their fair value is included in the Consolidated Schedule of Investments. The commitments are generally subject to the borrowers meeting certain criteria such as compliance with covenants and certain operational metrics. The terms of the borrowings and financings subject to commitment are comparable to the terms of other loan and equity securities in our portfolio. A summary of the composition of the unfunded commitments as of March 31, 2026 and September 30, 2025 is shown in the table below (dollars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4"/>
        <w:gridCol w:w="90"/>
        <w:gridCol w:w="236"/>
        <w:gridCol w:w="820"/>
        <w:gridCol w:w="90"/>
        <w:gridCol w:w="90"/>
        <w:gridCol w:w="326"/>
        <w:gridCol w:w="1133"/>
        <w:gridCol w:w="136"/>
      </w:tblGrid>
      <w:tr>
        <w:trPr/>
        <w:tc>
          <w:tcPr>
            <w:tcW w:w="72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September 30,</w:t>
              <w:br/>
              <w:t>2025</w:t>
            </w:r>
          </w:p>
        </w:tc>
        <w:tc>
          <w:tcPr>
            <w:tcW w:w="136" w:type="dxa"/>
            <w:tcBorders/>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MB Precision Investment Holdings LLC - Senior Secured First Lien Revolver</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36" w:type="dxa"/>
            <w:tcBorders/>
            <w:shd w:fill="CCEEFF" w:val="clear"/>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MB Precision Investment Holdings LLC - Senior Secured Delayed Draw Term Loan</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1,521</w:t>
            </w:r>
          </w:p>
        </w:tc>
        <w:tc>
          <w:tcPr>
            <w:tcW w:w="136" w:type="dxa"/>
            <w:tcBorders/>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PREIT Associates - Revolver</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36" w:type="dxa"/>
            <w:tcBorders/>
            <w:shd w:fill="CCEEFF" w:val="clear"/>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PSB Group, LLC - Revolver</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472</w:t>
            </w:r>
          </w:p>
        </w:tc>
        <w:tc>
          <w:tcPr>
            <w:tcW w:w="136" w:type="dxa"/>
            <w:tcBorders/>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SS Acquisition, LLC (dba Soccer Shots Franchising) - Revolver</w:t>
            </w:r>
          </w:p>
        </w:tc>
        <w:tc>
          <w:tcPr>
            <w:tcW w:w="9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w:t>
            </w:r>
          </w:p>
        </w:tc>
        <w:tc>
          <w:tcPr>
            <w:tcW w:w="136" w:type="dxa"/>
            <w:tcBorders/>
            <w:shd w:fill="CCEEFF" w:val="clear"/>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Tamarix Capital Partners II, L.P. - Fund Investment</w:t>
            </w:r>
          </w:p>
        </w:tc>
        <w:tc>
          <w:tcPr>
            <w:tcW w:w="9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1133"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w:t>
            </w:r>
          </w:p>
        </w:tc>
        <w:tc>
          <w:tcPr>
            <w:tcW w:w="136" w:type="dxa"/>
            <w:tcBorders/>
            <w:vAlign w:val="center"/>
          </w:tcPr>
          <w:p>
            <w:pPr>
              <w:pStyle w:val="TableContents"/>
              <w:bidi w:val="0"/>
              <w:spacing w:before="0" w:after="283"/>
              <w:jc w:val="left"/>
              <w:rPr/>
            </w:pPr>
            <w:r>
              <w:rPr/>
              <w:t> </w:t>
            </w:r>
          </w:p>
        </w:tc>
      </w:tr>
      <w:tr>
        <w:trPr/>
        <w:tc>
          <w:tcPr>
            <w:tcW w:w="72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WHI Global, LLC - Revolver</w:t>
            </w:r>
          </w:p>
        </w:tc>
        <w:tc>
          <w:tcPr>
            <w:tcW w:w="90"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w:t>
            </w:r>
          </w:p>
        </w:tc>
        <w:tc>
          <w:tcPr>
            <w:tcW w:w="136" w:type="dxa"/>
            <w:tcBorders/>
            <w:shd w:fill="CCEEFF" w:val="clear"/>
            <w:vAlign w:val="center"/>
          </w:tcPr>
          <w:p>
            <w:pPr>
              <w:pStyle w:val="TableContents"/>
              <w:bidi w:val="0"/>
              <w:spacing w:before="0" w:after="283"/>
              <w:jc w:val="left"/>
              <w:rPr/>
            </w:pPr>
            <w:r>
              <w:rPr/>
              <w:t> </w:t>
            </w:r>
          </w:p>
        </w:tc>
      </w:tr>
      <w:tr>
        <w:trPr/>
        <w:tc>
          <w:tcPr>
            <w:tcW w:w="72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unfunded commitments</w:t>
            </w:r>
          </w:p>
        </w:tc>
        <w:tc>
          <w:tcPr>
            <w:tcW w:w="90" w:type="dxa"/>
            <w:tcBorders/>
            <w:vAlign w:val="center"/>
          </w:tcPr>
          <w:p>
            <w:pPr>
              <w:pStyle w:val="TableContents"/>
              <w:bidi w:val="0"/>
              <w:spacing w:before="0" w:after="283"/>
              <w:jc w:val="left"/>
              <w:rPr/>
            </w:pPr>
            <w:r>
              <w:rPr/>
              <w:t> </w:t>
            </w:r>
          </w:p>
        </w:tc>
        <w:tc>
          <w:tcPr>
            <w:tcW w:w="23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20"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6"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3"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5,517</w:t>
            </w:r>
          </w:p>
        </w:tc>
        <w:tc>
          <w:tcPr>
            <w:tcW w:w="1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payment obligations by calendar year for repayment of debt and other contractual obligations at March 31, 2026 (dollars in thousands):</w:t>
      </w:r>
    </w:p>
    <w:p>
      <w:pPr>
        <w:pStyle w:val="TextBody"/>
        <w:bidi w:val="0"/>
        <w:spacing w:before="0" w:after="0"/>
        <w:ind w:left="0" w:right="0" w:hanging="0"/>
        <w:jc w:val="both"/>
        <w:rPr>
          <w:caps w:val="false"/>
          <w:smallCaps w:val="false"/>
        </w:rPr>
      </w:pPr>
      <w:r>
        <w:rPr>
          <w:caps w:val="false"/>
          <w:smallCaps w:val="false"/>
        </w:rPr>
        <w:t> </w:t>
      </w:r>
    </w:p>
    <w:tbl>
      <w:tblPr>
        <w:tblW w:w="11495" w:type="dxa"/>
        <w:jc w:val="left"/>
        <w:tblInd w:w="0" w:type="dxa"/>
        <w:tblLayout w:type="fixed"/>
        <w:tblCellMar>
          <w:top w:w="0" w:type="dxa"/>
          <w:left w:w="0" w:type="dxa"/>
          <w:bottom w:w="0" w:type="dxa"/>
          <w:right w:w="0" w:type="dxa"/>
        </w:tblCellMar>
      </w:tblPr>
      <w:tblGrid>
        <w:gridCol w:w="1220"/>
        <w:gridCol w:w="90"/>
        <w:gridCol w:w="170"/>
        <w:gridCol w:w="905"/>
        <w:gridCol w:w="125"/>
        <w:gridCol w:w="90"/>
        <w:gridCol w:w="170"/>
        <w:gridCol w:w="905"/>
        <w:gridCol w:w="125"/>
        <w:gridCol w:w="90"/>
        <w:gridCol w:w="170"/>
        <w:gridCol w:w="1205"/>
        <w:gridCol w:w="125"/>
        <w:gridCol w:w="90"/>
        <w:gridCol w:w="170"/>
        <w:gridCol w:w="905"/>
        <w:gridCol w:w="125"/>
        <w:gridCol w:w="90"/>
        <w:gridCol w:w="170"/>
        <w:gridCol w:w="1205"/>
        <w:gridCol w:w="125"/>
        <w:gridCol w:w="90"/>
        <w:gridCol w:w="170"/>
        <w:gridCol w:w="1085"/>
        <w:gridCol w:w="125"/>
        <w:gridCol w:w="90"/>
        <w:gridCol w:w="170"/>
        <w:gridCol w:w="1325"/>
        <w:gridCol w:w="170"/>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5" w:type="dxa"/>
            <w:gridSpan w:val="2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Payments Due by Period</w:t>
            </w:r>
          </w:p>
        </w:tc>
        <w:tc>
          <w:tcPr>
            <w:tcW w:w="170"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Thereafter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70"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Revolving Credit Facility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(89,991,619</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(89,991,619</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(57,500,000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(57,500,000</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Obligation</w:t>
            </w:r>
            <w:r>
              <w:rPr>
                <w:rFonts w:ascii="Times New Roman;Times;Serif" w:hAnsi="Times New Roman;Times;Serif"/>
                <w:position w:val="7"/>
                <w:sz w:val="16"/>
                <w:sz w:val="20"/>
              </w:rPr>
              <w:t> (1)</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(239,400</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(327,695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(337,525</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(347,651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(358,081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(1,817,021</w:t>
            </w:r>
          </w:p>
        </w:tc>
        <w:tc>
          <w:tcPr>
            <w:tcW w:w="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(3,427,373</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2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contractual obligations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(239,400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(327,695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(57,837,525</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(347,651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(90,349,700</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(1,817,021</w:t>
            </w:r>
          </w:p>
        </w:tc>
        <w:tc>
          <w:tcPr>
            <w:tcW w:w="1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5"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(150,918,992</w:t>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Obligation means a rent payment obligation under a lease classified as an operating lease and disclosed pursuant to ASC 842, as may be modified or supplemented. On December 18, 2024, the Company amended the terms of the lease, contingent on certain events, extending the lease term until August 31, 2035, with a right to terminate on the 36th and 60th month anniversaries of September 5, 2025, as well as any time on or after the 84th month anniversary of September 5, 2025.</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and intend to continue to qualify annually, to be treated for U.S. federal income tax purposes as a RIC under Subchapter M of the Code. As a RIC, in any taxable year with respect to which we timely distribute at least 90 percent of the sum of our (i) investment company taxable income (which is generally our net ordinary income plus the excess of realized net short-term capital gains over realized net long-term capital losses) determined without regard to the deduction for dividends paid and (ii) net tax exempt interest income (which is the excess of our gross tax exempt interest income over certain disallowed deductions), we (but not our stockholders) generally will not be subject to U.S. federal income tax on investment company taxable income and net capital gains that we distribute to our stockholders. We intend to distribute annually all or substantially all of such income, but we may also elect to periodically spill over certain excess undistributed taxable income from one tax year to the next tax year. To the extent that we retain our net capital gains or any investment company taxable income, we will be subject to U.S. federal income tax. We may choose to retain our net capital gains or any investment company taxable income, and pay the associated federal corporate income tax or excise tax,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not distributed on a timely basis in accordance with a calendar year distribution requirement are subject to a nondeductible 4% U.S. federal excise tax payable by us. To avoid this tax, we must distribute (or be deemed to have distributed) during each calendar year an amount equal to the sum of:</w:t>
      </w:r>
    </w:p>
    <w:p>
      <w:pPr>
        <w:pStyle w:val="TextBody"/>
        <w:bidi w:val="0"/>
        <w:spacing w:before="0" w:after="0"/>
        <w:ind w:left="0" w:right="0" w:hanging="0"/>
        <w:jc w:val="both"/>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68"/>
        <w:gridCol w:w="215"/>
        <w:gridCol w:w="9125"/>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98.0% of our ordinary income (not taking into account any capital gains or losses) for the calendar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least 98.2% of the amount by which our capital gains exceed our capital losses (adjusted for certain ordinary losses) for a one-year period ending on October 31st of the calendar year; and</w:t>
            </w:r>
          </w:p>
        </w:tc>
      </w:tr>
    </w:tbl>
    <w:p>
      <w:pPr>
        <w:pStyle w:val="TextBody"/>
        <w:bidi w:val="0"/>
        <w:spacing w:before="0" w:after="0"/>
        <w:ind w:left="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68"/>
        <w:gridCol w:w="215"/>
        <w:gridCol w:w="854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realized, but not distributed, in preceding years and on which we did not pay federal 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distribute any income and capital gains in the manner necessary to minimize imposition of the 4% U.S. federal excise tax, sufficient amounts of our taxable income and capital gains may not be distributed to avoid entirely the imposition of the tax. In that event, we will be liable for the tax only on the amount by which we do not meet the foregoing distribution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taxable earnings fall below the total amount of our distributions for a taxable year, a portion of those distributions may be deemed a return of capital to our stockholders for U.S. federal income tax purposes. Stockholders should read any written disclosure accompanying a distribution carefully and should not assume that the source of any distribution is our ordinary income or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federal, state and local tax consequences as if they received cash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any distribution payments during the six months ended March 31, 2026. On February 6, 2025, the Board of Directors declared a special dividend of $1.43 per share. This dividend was paid on February 19, 2025 to stockholders of record as of February 17,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formal business code of conduct and ethics that governs the conduct of our CEO, CFO, chief accounting officer (which role is currently fulfilled by our CFO) and controller (Covered Officers). Our officers and directors also remain subject to the duties imposed by both the 1940 Act and the Delaware General Corporation Law. Our Code of Business Conduct and Ethics requires that all Covered Officers promote honest and ethical conduct, including the ethical handling of actual or apparent conflicts of interest between an individual’s personal and professional relationships. Pursuant to our Code of Business Conduct and Ethics, each Covered Officer must disclose to the Company’s CCO any conflicts of interest, or actions or relationships that might give rise to a conflict. Any approvals or waivers under our Code of Business Conduct and Ethics must be considered by the disinterested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contracts with its affiliated portfolio companies, The National Security Group (and certain of its affiliates) and ECC Capital Corporation, pursuant to which the Company (and/or certain of its subsidiaries) provide such affiliated portfolio companies certain services, including managing a portion of their assets. During the three and six months ended March 31, 2026, the Company recognized $0.2 million and $0.3 million of income, respectively, related to these contracts. During the three and six months ended March 31, 2025, the Company recognized $0.2 million and $0.3 million of income, respectively, related to these contracts.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Pledge and Security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Credit Facility discussed in Note 5, the Company has entered into a Pledge and Security Agreement with the Lenders pursuant to which the Company and its wholly owned subsidiaries have pledged all their assets, including the cash and securities held in the Company’s custodial account with Computershare Trust Company, N.A., as collateral for any borrowings made by the Company pursuant to the Credit Agreement. The Lenders have the typical rights and remedies of a secured lender under the Uniform Commercial Code, including the right to foreclose on the collateral pledged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2024, the Pledge and Security Agreement was amended to (i) release and terminate the security interest in the equity interest of FlexFIN, LLC, pledged by PhenixFIN Investment Holdings LLC, (ii) grant a security interest in the membership interest of FlexFIN Holdco LLC, pledged by PhenixFIN Investment Holdings LLC, and (iii) reflect equity interests of certain subsidiaries held by the Company and its subsidiary in the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2024, the Pledge and Security Agreement was further amended to join an additional subsidiary of the Company as a Guarantor and grant a security interest in the equity interest of such additional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the Pledge and Security Agreement was further amended to exclude assets owned by excluded subsidiaries from the collateral package and reflect the equity interest of an additional subsidiary of the Company in the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and related disclosures in conformity with U.S. generally accepted accounting principles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Portfolio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ASC 820 for measuring the fair value of portfolio investments. Fair value is the price that would be received in the sale of an asset or paid to transfer a liability in an orderly transaction between market participants at the measurement date. Where available, fair value is based on observable market prices or parameters, or derived from such prices or parameters. Where observable prices or inputs are not available, valuation models are applied. These valuation models involve some level of management estimation and judgment, the degree of which is dependent on the price transparency for the instruments or market and the instruments’ complexity. The Company’s fair value analysis includes an analysis of the value of any unfunded loan commitments. Financial investments recorded at fair value in the consolidated financial statements are categorized for disclosure purposes based upon the level of judgment associated with the inputs used to measure their value. The valuation hierarchical levels are based upon the transparency of the inputs to the valuation of the investment as of the measurement date. Investments which are valued using NAV as a practical expedient are excluded from this hierarchy. The three levels are defined below:</w:t>
      </w:r>
    </w:p>
    <w:p>
      <w:pPr>
        <w:pStyle w:val="TextBody"/>
        <w:bidi w:val="0"/>
        <w:spacing w:before="0" w:after="0"/>
        <w:ind w:left="0" w:right="0" w:hanging="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68"/>
        <w:gridCol w:w="200"/>
        <w:gridCol w:w="96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 Valuations based on quoted prices in active markets for identical assets or liabilities at the measurement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 Valuations based on quoted prices in markets that are not active or for which all significant inputs are observable, either directly or indirectly.</w:t>
            </w:r>
          </w:p>
        </w:tc>
      </w:tr>
    </w:tbl>
    <w:p>
      <w:pPr>
        <w:pStyle w:val="TextBody"/>
        <w:bidi w:val="0"/>
        <w:spacing w:before="0" w:after="0"/>
        <w:ind w:left="0" w:right="0" w:hanging="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68"/>
        <w:gridCol w:w="200"/>
        <w:gridCol w:w="92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 Valuations based on inputs that are unobservable and significant to the overall 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value investments for which market quotations are readily available at their market quotations, which are generally obtained from an independent pricing service or multiple broker-dealers or market makers. We weight the use of third-party broker quotes, if any, in determining fair value based on our understanding of the level of actual transactions used by the broker to develop the quote and whether the quote was an indicative price or binding offer. However, a readily available market value is not expected to exist for many of the investments in our portfolio, and we value these portfolio investments at fair value as determined in good faith by our board of directors under our valuation policy and process. We may seek pricing information with respect to certain of our investments from pricing services or brokers or dealers in order to value such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methods may include comparisons of financial ratios of the portfolio companies that issued such private equity securities to peer companies that are public, the nature and realizable value of any collateral, the portfolio company’s ability to make payments and its earnings and discounted cash flows, the markets in which the portfolio company does business, and other relevant factors. When an external event such as a purchase transaction, public offering or subsequent equity sale occurs, we will consider the pricing indicated by the external event to corroborate the private equity valuation. Due to the inherent uncertainty of determining the fair value of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SEC adopted Rule 2a-5 under the 1940 Act, which permits a BDC’s board of directors to designate its executive officer(s) as a valuation designee to determine the fair value of its investment portfolio, subject to the oversight of the board. The Board approved policies and procedures pursuant to Rule 2a-5 and has designated Ellida McMillan, the Company’s CFO, to serve as the Board’s valuation designee (“Valuation Designee”), subject to the Board’s oversight, effective September 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investments for which market quotations are not readily available, our board oversees and our Valuation Designee undertakes a multi-step valuation process each quarter, as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quarterly valuation process generally begins with each portfolio investment being initially valued by a Valuation Firm;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third-party market data will be reviewed by Company personnel designated by the Valuation Designee (“Fair Value Personnel”) and the Valuation Firm.</w:t>
            </w:r>
          </w:p>
        </w:tc>
      </w:tr>
    </w:tbl>
    <w:p>
      <w:pPr>
        <w:pStyle w:val="TextBody"/>
        <w:bidi w:val="0"/>
        <w:spacing w:before="0" w:after="0"/>
        <w:ind w:left="0" w:right="0" w:hanging="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00"/>
        <w:gridCol w:w="87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Available portfolio company data and general industry data are then reviewed by the Fair Value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valuation conclusions are then documented by the Valuation Firm and discussed with the Fair Value Personnel.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Valuation Designee then determines the fair value of each investment in the Company’s portfolio in good faith based on such discussions, the Company’s Valuation Policy and the Valuation Firms’ final estimated valuations.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Valuation Designee’s report is then presented to the Board of Directors and the Audit Committee.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following these approaches, the types of factors that are taken into account in fair value pricing investments include available current market data, including relevant and applicable market trading and transaction comparables; applicable market yields and multiples; security covenants; call protection provisions; information rights; the nature and realizable value of any collateral; the portfolio company’s ability to make payments; the portfolio company’s earnings and discounted cash flows; the markets in which the portfolio company does business; comparisons of financial ratios of peer companies that are public; comparable merger and acquisition transactions; and the principal market and enterprise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fair values involves subjective judgments and estimates made by management. The notes to our consolidated financial statements refer to the uncertainty with respect to the possible effect of such valuations, and any change in such valuations,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recognition policies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Investments and Related Investment Income: </w:t>
      </w:r>
      <w:r>
        <w:rPr>
          <w:rFonts w:ascii="Times New Roman;Times;Serif" w:hAnsi="Times New Roman;Times;Serif"/>
          <w:b w:val="false"/>
          <w:i w:val="false"/>
          <w:caps w:val="false"/>
          <w:smallCaps w:val="false"/>
          <w:sz w:val="20"/>
        </w:rPr>
        <w:t>We account for investment transactions on a trade-date basis and interest income, adjusted for amortization of premiums and accretion of discounts, is recorded on an accrual basis. For investments with contractual PIK interest, which represents contractual interest accrued and added to the principal balance that generally becomes due at maturity, we will not accrue PIK interest if the portfolio company valuation indicates that the PIK interest is not collectible. Origination, closing and/or commitment fees associated with investments in portfolio companies are recognized as income when the investment transaction closes. Other fees are capitalized as deferred revenue and recorded into income over the respective period. Prepayment penalties received by the Company for debt instruments paid back to the Company prior to the maturity date are recorded as income upon receipt. Realized gains or losses on investments are measured by the difference between the net proceeds from the disposition and the amortized cost basis of an investment, without regard to unrealized gains or losses previously recognized. We report changes in the fair value of investments that are measured at fair value as a component of the net change in unrealized appreciation/(depreciation) on investments in our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Non-accrual: </w:t>
      </w:r>
      <w:r>
        <w:rPr>
          <w:rFonts w:ascii="Times New Roman;Times;Serif" w:hAnsi="Times New Roman;Times;Serif"/>
          <w:b w:val="false"/>
          <w:i w:val="false"/>
          <w:caps w:val="false"/>
          <w:smallCaps w:val="false"/>
          <w:sz w:val="20"/>
        </w:rPr>
        <w:t>We place loans on non-accrual status when principal and interest payments are past due by 90 days or more, or when there is reasonable doubt that we will collect principal or interest. Accrued interest is generally reversed when a loan is placed on non-accrual. Interest payments received on non-accrual loans may be recognized as income or applied to principal depending upon management’s judgment. Non-accrual loans are restored to accrual status when past due principal and interest is paid and, in our management’s judgment, are likely to remain current. At March 31, 2026, a certain investment in one portfolio company held by the Company was on non-accrual status with a fair value of approximately $0.0 million, or 0% of the fair value of our portfolio, and a cost of $7.6 million. At September 30, 2025, a certain investment in one portfolio company held by the Company was on non-accrual status with a combined fair value of approximately $0.0 million, or 0.0% of the fair value of our portfolio, and a cost of $7.6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Federal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and intends to continue to qualify annually, to be treated for U.S. federal income tax purposes as a RIC under Subchapter M of the Code and it intends to operate in a manner so as to maintain its RIC tax treatment. To do so, among other things, the Company is required to meet certain sources of income and asset diversification requirements and must timely distribute to its stockholders at least 90% of the sum of investment company taxable income (“ICTI”) including PIK, as defined by the Code, and net tax exempt interest income (which is the excess of our gross tax exempt interest income over certain disallowed deductions) for each taxable year. The Company will be subject to a nondeductible U.S. federal excise tax of 4% on undistributed income if it does not distribute at least 98% of its net ordinary income for any calendar year and 98.2% of its capital gain net income for each one-year period ending on October 31 of such calendar year and any income realized, but not distributed, in preceding years and on which it did not pay federal income tax. Depending on the level of ICTI earned in a tax year, the Company may choose to carry forward ICTI in excess of current year dividend distributions into the next tax year and pay a 4%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 Any such carryover ICTI must be distributed before the end of that next tax year through a dividend declared prior to filing the final tax return related to the year which generated such ICTI.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federal income tax requirements differ from GAAP, distributions in accordance with tax requirements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financial market risks, including changes in interest rates. Changes in interest rates may affect both our cost of funding and our interest income from portfolio investments and cash and cash equivalents. Our investment income will be affected by changes in various interest rates, including SOFR, to the extent our debt investments include floating interest rates. In the future, we expect other loans in our portfolio will have floating interest rates. In 2023, the Federal Reserve raised short-term interest rates and has indicated additional interest rate increases may come. In addition, U.S. and global capital markets and credit markets have experienced a higher level of stress due to the higher interest rate environment, pandemics, and other market events, which has resulted in an increase in the level of volatility across such markets. We may hedge against interest rate fluctuations by using standard hedging instruments such as futures, options and forward contracts subject to the requirements of the 1940 Act. For the six months ended March 31, 2026 and the year ended September 30, 2025, we did not engage in hedging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60.3% of our income-bearing investment portfolio bore interest based on floating rates based upon fair value. The substantial majority of this component of our portfolio bore interest based on a SOFR reference rate. A prolonged reduction in interest rates will reduce our gross investment income and could result in a decrease in our net investment income if such decreases in the applicable reference rates are not offset by a corresponding increase in the spread over the reference rates that we earn on any portfolio investments, a decrease in our operating expenses, including with respect to any income incentive fee, or a decrease in the interest rate of our floating interest rate liabilities tied to reference rates. In contrast, a rise in the general level of interest rates can be expected to lead to higher interest rates applicable to any variable rate investments we hold and to declines in the value of any fixed rate investments we hold. In addition, a rise in interest rates may increase the likelihood that a portfolio company defaults on a loan. However, many of our variable rate investments provide for an interest rate floor, which may prevent our interest income from increasing until benchmark interest rates increase beyond a threshold amount.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our floating rate debt investments by cash interest rate floor as of March 31, 2026 was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2615"/>
        <w:gridCol w:w="90"/>
        <w:gridCol w:w="194"/>
        <w:gridCol w:w="950"/>
        <w:gridCol w:w="90"/>
        <w:gridCol w:w="90"/>
        <w:gridCol w:w="194"/>
        <w:gridCol w:w="1280"/>
        <w:gridCol w:w="290"/>
      </w:tblGrid>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290" w:type="dxa"/>
            <w:tcBorders/>
            <w:vAlign w:val="center"/>
          </w:tcPr>
          <w:p>
            <w:pPr>
              <w:pStyle w:val="TableContents"/>
              <w:bidi w:val="0"/>
              <w:spacing w:before="0" w:after="283"/>
              <w:jc w:val="left"/>
              <w:rPr/>
            </w:pPr>
            <w:r>
              <w:rPr/>
              <w:t> </w:t>
            </w:r>
          </w:p>
        </w:tc>
      </w:tr>
      <w:tr>
        <w:trPr/>
        <w:tc>
          <w:tcPr>
            <w:tcW w:w="26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SOFR and LIBOR Floor</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Floating</w:t>
              <w:br/>
              <w:t>Rate Portfolio</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 1%</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 to under 2%</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 to under 3%</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9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 to under 4%</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 to under 5%</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9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Floor</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29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111,837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Consolidated Statements of Assets and Liabilities as of March 31, 2026, the following table (dollars in thousands) shows the approximate increase/(decrease) in components of net assets resulting from operations of hypothetical SOFR base rate changes in interest rates, assuming no changes in our investment and capital structure.</w:t>
      </w:r>
    </w:p>
    <w:p>
      <w:pPr>
        <w:pStyle w:val="TextBody"/>
        <w:bidi w:val="0"/>
        <w:spacing w:before="0" w:after="0"/>
        <w:ind w:left="0" w:right="0" w:hanging="0"/>
        <w:jc w:val="both"/>
        <w:rPr>
          <w:caps w:val="false"/>
          <w:smallCaps w:val="false"/>
        </w:rPr>
      </w:pPr>
      <w:r>
        <w:rPr>
          <w:caps w:val="false"/>
          <w:smallCaps w:val="false"/>
        </w:rPr>
        <w:t> </w:t>
      </w:r>
    </w:p>
    <w:tbl>
      <w:tblPr>
        <w:tblW w:w="7292" w:type="dxa"/>
        <w:jc w:val="left"/>
        <w:tblInd w:w="0" w:type="dxa"/>
        <w:tblLayout w:type="fixed"/>
        <w:tblCellMar>
          <w:top w:w="0" w:type="dxa"/>
          <w:left w:w="0" w:type="dxa"/>
          <w:bottom w:w="28" w:type="dxa"/>
          <w:right w:w="0" w:type="dxa"/>
        </w:tblCellMar>
      </w:tblPr>
      <w:tblGrid>
        <w:gridCol w:w="2585"/>
        <w:gridCol w:w="90"/>
        <w:gridCol w:w="181"/>
        <w:gridCol w:w="708"/>
        <w:gridCol w:w="125"/>
        <w:gridCol w:w="90"/>
        <w:gridCol w:w="354"/>
        <w:gridCol w:w="1390"/>
        <w:gridCol w:w="125"/>
        <w:gridCol w:w="90"/>
        <w:gridCol w:w="280"/>
        <w:gridCol w:w="1104"/>
        <w:gridCol w:w="170"/>
      </w:tblGrid>
      <w:tr>
        <w:trPr/>
        <w:tc>
          <w:tcPr>
            <w:tcW w:w="258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 in Interest Rates</w:t>
            </w:r>
          </w:p>
        </w:tc>
        <w:tc>
          <w:tcPr>
            <w:tcW w:w="90" w:type="dxa"/>
            <w:tcBorders/>
            <w:tcMar>
              <w:bottom w:w="0" w:type="dxa"/>
            </w:tcMar>
            <w:vAlign w:val="center"/>
          </w:tcPr>
          <w:p>
            <w:pPr>
              <w:pStyle w:val="TableContents"/>
              <w:bidi w:val="0"/>
              <w:spacing w:before="0" w:after="283"/>
              <w:jc w:val="left"/>
              <w:rPr/>
            </w:pPr>
            <w:r>
              <w:rPr/>
              <w:t> </w:t>
            </w:r>
          </w:p>
        </w:tc>
        <w:tc>
          <w:tcPr>
            <w:tcW w:w="88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w:t>
              <w:br/>
              <w:t>Income</w:t>
            </w:r>
            <w:r>
              <w:rPr>
                <w:rFonts w:ascii="Times New Roman;Times;Serif" w:hAnsi="Times New Roman;Times;Serif"/>
                <w:b/>
                <w:position w:val="7"/>
                <w:sz w:val="16"/>
                <w:sz w:val="20"/>
              </w:rPr>
              <w:t>(1)</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Interest Expense</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8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Increase/</w:t>
              <w:br/>
              <w:t>(Decrease)</w:t>
            </w:r>
          </w:p>
        </w:tc>
        <w:tc>
          <w:tcPr>
            <w:tcW w:w="170"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 300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 200 basis points</w:t>
            </w:r>
          </w:p>
        </w:tc>
        <w:tc>
          <w:tcPr>
            <w:tcW w:w="9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7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4"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280"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170"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Up 100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Down 100 basis points</w:t>
            </w:r>
          </w:p>
        </w:tc>
        <w:tc>
          <w:tcPr>
            <w:tcW w:w="9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7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54"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0"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Down 200 basis points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0" w:type="dxa"/>
            <w:tcBorders/>
            <w:shd w:fill="CCEEFF" w:val="clear"/>
            <w:tcMar>
              <w:bottom w:w="0" w:type="dxa"/>
            </w:tcMar>
            <w:vAlign w:val="center"/>
          </w:tcPr>
          <w:p>
            <w:pPr>
              <w:pStyle w:val="TableContents"/>
              <w:bidi w:val="0"/>
              <w:spacing w:before="0" w:after="283"/>
              <w:jc w:val="left"/>
              <w:rPr/>
            </w:pPr>
            <w:r>
              <w:rPr/>
              <w:t> </w:t>
            </w:r>
          </w:p>
        </w:tc>
        <w:tc>
          <w:tcPr>
            <w:tcW w:w="11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58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Down 300 basis points</w:t>
            </w:r>
          </w:p>
        </w:tc>
        <w:tc>
          <w:tcPr>
            <w:tcW w:w="90" w:type="dxa"/>
            <w:tcBorders/>
            <w:tcMar>
              <w:bottom w:w="0" w:type="dxa"/>
            </w:tcMar>
            <w:vAlign w:val="center"/>
          </w:tcPr>
          <w:p>
            <w:pPr>
              <w:pStyle w:val="TableContents"/>
              <w:bidi w:val="0"/>
              <w:spacing w:before="0" w:after="283"/>
              <w:jc w:val="left"/>
              <w:rPr/>
            </w:pPr>
            <w:r>
              <w:rPr/>
              <w:t> </w:t>
            </w:r>
          </w:p>
        </w:tc>
        <w:tc>
          <w:tcPr>
            <w:tcW w:w="181" w:type="dxa"/>
            <w:tcBorders/>
            <w:tcMar>
              <w:bottom w:w="0" w:type="dxa"/>
            </w:tcMar>
            <w:vAlign w:val="center"/>
          </w:tcPr>
          <w:p>
            <w:pPr>
              <w:pStyle w:val="TableContents"/>
              <w:bidi w:val="0"/>
              <w:spacing w:before="0" w:after="283"/>
              <w:jc w:val="left"/>
              <w:rPr/>
            </w:pPr>
            <w:r>
              <w:rPr/>
              <w:t> </w:t>
            </w:r>
          </w:p>
        </w:tc>
        <w:tc>
          <w:tcPr>
            <w:tcW w:w="708"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(3,700</w:t>
            </w:r>
          </w:p>
        </w:tc>
        <w:tc>
          <w:tcPr>
            <w:tcW w:w="1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 w:type="dxa"/>
            <w:tcBorders/>
            <w:tcMar>
              <w:bottom w:w="0" w:type="dxa"/>
            </w:tcMar>
            <w:vAlign w:val="center"/>
          </w:tcPr>
          <w:p>
            <w:pPr>
              <w:pStyle w:val="TableContents"/>
              <w:bidi w:val="0"/>
              <w:spacing w:before="0" w:after="283"/>
              <w:jc w:val="left"/>
              <w:rPr/>
            </w:pPr>
            <w:r>
              <w:rPr/>
              <w:t> </w:t>
            </w:r>
          </w:p>
        </w:tc>
        <w:tc>
          <w:tcPr>
            <w:tcW w:w="354" w:type="dxa"/>
            <w:tcBorders/>
            <w:tcMar>
              <w:bottom w:w="0" w:type="dxa"/>
            </w:tcMar>
            <w:vAlign w:val="center"/>
          </w:tcPr>
          <w:p>
            <w:pPr>
              <w:pStyle w:val="TableContents"/>
              <w:bidi w:val="0"/>
              <w:spacing w:before="0" w:after="283"/>
              <w:jc w:val="left"/>
              <w:rPr/>
            </w:pPr>
            <w:r>
              <w:rPr/>
              <w:t> </w:t>
            </w:r>
          </w:p>
        </w:tc>
        <w:tc>
          <w:tcPr>
            <w:tcW w:w="1390"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0" w:type="dxa"/>
            <w:tcBorders/>
            <w:tcMar>
              <w:bottom w:w="0" w:type="dxa"/>
            </w:tcMar>
            <w:vAlign w:val="center"/>
          </w:tcPr>
          <w:p>
            <w:pPr>
              <w:pStyle w:val="TableContents"/>
              <w:bidi w:val="0"/>
              <w:spacing w:before="0" w:after="283"/>
              <w:jc w:val="left"/>
              <w:rPr/>
            </w:pPr>
            <w:r>
              <w:rPr/>
              <w:t> </w:t>
            </w:r>
          </w:p>
        </w:tc>
        <w:tc>
          <w:tcPr>
            <w:tcW w:w="1104" w:type="dxa"/>
            <w:tcBorders/>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290"/>
        <w:gridCol w:w="73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no defaults or prepayments by portfolio companies over the next twelve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evaluated the effectiveness of our disclosure controls and procedures as of March 31, 2026. The term “disclosure controls and procedures” is defined under Rules 13a-15(e) and 15d-15(e) under the Securities Exchange Act of 1934 (the “Exchange Act”), as amended. Based on the evaluation of our disclosure controls and procedures as of March 31, 2026, our Chief Executive Officer and Chief Financial Officer concluded that, as of such date, our disclosure controls and procedures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(as defined in Rule 13a-15(f) under the Exchange Act) that occurred during the quarter covered by this report that have materially affected, or are reasonably likely to materially affect, our internal controls over financial reporting.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legal proceedings, lawsuits and claims incidental to the conduct of our business. Our businesses are also subject to extensive regulation, which may result in regulatory proceedings against us. We are not currently party to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information set forth in this report, you should carefully consider the “Risk Factors” discussed in our annual report on Form 10-K for the fiscal year ended September 30, 2025, filed with the SEC on December 12, 2025, which could materially affect our business, financial condition and/or operating results. Other than the items disclosed below (which are being re-disclosed in this report in light of the board of directors’ recent approval of the reduced minimum asset coverage ratio), there have been no material changes during the six months ended March 31, 2026 to the risk factors discussed in “Item 1A. Risk Factors” of our annual report on Form 10-K. Additional risks or uncertainties not currently known to us or that we currently deem to be immaterial also may materially affect our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have received the approval of our board of directors, we will be subject to 150% Asset Coverage beginning on May 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generally prohibits us from incurring indebtedness unless immediately after such borrowing we have an asset coverage for total borrowings of at least 200% (i.e., the amount of debt may not exceed 50% of the value of our assets), unless a “required majority” (as such term is defined in Section 57(o) of the 1940 Act) of the board of directors approves reducing such coverage ratio to 150%, if certain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our board of directors approved the application of the reduced asset coverage ratio to us. As a result, we may increase our leverage up to an amount that meets the reduced minimum asset coverage ratio of 150% (i.e., the amount of debt may not exceed 66 2/3% of the value of our assets) beginning on May 4, 2027. We would not necessarily avail ourselves of the added leverage unless additional borrowings are available to us and we are able to amend our Credit Facility to permit additional leverage, which may not be practicable. Leverage magnifies the potential for loss on investments in our indebtedness and on invested equity capital. As we use leverage to partially finance our investments, you experience increased risks of investing in our securities. If the value of our assets increases, then any additional leverage would cause the net asset value attributable to our common stock to increase more sharply than it would have had we not increased our leverage. Conversely, if the value of our assets decreases, any additional leverage would cause net asset value to decline more sharply than it otherwise would have had we not increased our leverage. Similarly, any increase in our income in excess of interest payable on the borrowed funds would cause our net investment income to increase more than it would without the additional leverage, while any decrease in our income would cause net investment income to decline more sharply than it would have had we not increased our leverage. Such a decline could negatively affect our ability to pay common stock dividends, scheduled debt payments or other payments related to our securities. Leverage is generally considered a speculative investment technique. See “Risk Factors - Risks Related to Our Business - Because we finance our investments with borrowed funds, we are exposed to risks typically associated with leverage, potentially magnifying the risk of investing in us”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use borrowed funds to make investments or fund our business operations, we are exposed to risks typically associated with leverage which increase the risk of investing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borrowed funds, including through the issuance of $57.5 million in aggregate principal amount of 5.25% unsecured notes due November 1, 2028 (the “Notes” or the “2028 Notes”) to leverage our capital structure, which is generally considered a speculative investment technique. In addition, on December 15, 2022, the Company entered into a 3-year $50.0 million revolving credit facility (the “Credit Facility”) with Woodforest Bank, N.A. (“Woodforest”), Valley National Bank, and Axiom Bank, (collectively, the “Lenders”), which was amended on February 21, 2024 to increase the principal amount of loan available under the Credit Facility by $12.5 million to $62.5 million. On August 5, 2024 (the “Second Amendment Effective Date”), in order to increase the size of the Credit Facility, the parties to the Credit Facility amended the Credit Facility, effective as of the Second Amendment Effective Date (the “Second Amendment”). The Second Amendment increased the principal amount of loan available under the Credit Facility by $25 million to $87.5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2025 (the “Third Amendment Effective Date”), in order to extend the term and increase the size of the Credit Facility, the parties to the Credit Facility amended the terms of the Credit Facility, effective as of the Third Amendment Effective Date (the “Third Amendment”). The Third Amendment increased the principal amount of the loan available under the Credit Facility by $12.5 million to $100.0 million (with potential access to up to an additional $50.0 million pursuant to an uncommitted accordion provision) and appointed BankUnited, N.A. to assume all agency and syndication responsibilities from the prior agent and lenders. The Amendment also extended the term of the credit facility to April 17, 2030, five years from the Third Amendment Effective Date. Other material terms remain substantially unchanged. As a result: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may be exposed to an increased risk of loss because a decrease in the value of our investments may have a greater negative impact on the value of our common stock than if we did not use leverage;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appropriately match the assets and liabilities of our business, adverse changes in interest rates could reduce or eliminate the incremental income we make with the proceeds of any leverage;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distributions on our common stock may be restricted if our asset coverage ratio with respect to each of our outstanding senior securities representing indebtedness and our outstanding preferred shares, as defined by the 1940 Act, is not at least 200% and any amounts used to service indebtedness or preferred stock would not be available for such distributions;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facility to which we became a party may be subject to periodic renewal by our lenders, whose continued participation cannot be guaranteed;</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credit facility to which we became a party may contain covenants restricting our operating flexibility;</w:t>
            </w:r>
          </w:p>
        </w:tc>
      </w:tr>
    </w:tbl>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indirectly our stockholders, bear the cost of issuing and paying interest or dividends on such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convertible or exchangeable securities that we issue may have rights, preferences and privileges more favorable than those of our common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provisions of the 1940 Act, we are permitted, as a BDC, to issue debt securities or preferred stock and/or borrow money from banks and other financial institutions, which we collectively refer to as “senior securities”, only in amounts such that our asset coverage ratio equals at least 200% (or 150%) after each issuance of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the terms of the Notes, see “Management’s Discussion and Analysis of Financial Condition and Results of Operations - Financial Condition, Liquidity and Capital Resources”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asset coverage was 204.3% after giving effect to leverage and therefore the Company’s asset coverage is above 200%, the minimum asset coverage requirement presently applicable to the Company under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use debt to finance various investments, changes in interest rates will affect our cost of capital and net investment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borrow money to make certain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event we use our existing debt to finance our investments. In periods of rising interest rates, such as the current period we are in, our cost of funds will increase to the extent we access any credit facility with a floating interest rate, which could reduce our net investment income to the extent any debt investments have fixed interest rates. We expect that our long-term fixed-rate investments will be financed primarily with issuances of equity and long-term debt securities. We may use interest rate risk management techniques in an effort to limit our exposure to interest rate fluctuations. Such techniques may include various interest rate hedging activities to the extent permitted by the 1940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also be aware that, to the extent we make floating debt investments, a rise in the general level of interest rates typically leads to higher interest rates applicable to our debt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borrow money, the potential for loss on amounts invested in us will be magnified and may increase the risk of investing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also known as leverage, magnify the potential for loss on invested equity capital. If we use leverage to partially finance our investments, which we have done historically, you will experience increased risks of investing in our securities. We issued the Notes, entered into the Credit Facility, and may issue other debt securities or enter into other types of borrowing arrangements in the future. If the value of our assets decreases, leveraging would cause our NAV to decline more sharply than it otherwise would have had we not leveraged. Similarly, any decrease in our income would cause net income to decline more sharply than it would have had we not borrowed. Such a decline could negatively affect our ability to make common stock distributions or scheduled debt payments. Leverage is generally considered a speculative investment technique and we only intend to use leverage if expected returns will exceed the cost of borrowing.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$147.5 million of outstanding borrowings. The weighted average interest rate charged on our borrowings as of March 31, 2026 was 5.9% (exclusive of debt issuance costs). We will need to generate sufficient cash flow to make these required interest payments. If we are unable to meet the financial obligations under the Notes, the holders thereof will have the right to declare the principal amount and accrued and unpaid interest on the outstanding Notes to be due and payable immediately. If we are unable to meet the financial obligations under the Credit Facility or any other credit facility we enter into, the lenders thereunder would likely have a superior claim to our assets over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preferred stock, the NAV and market value of our common stock may become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preferred stock, we cannot assure you that such issuance would result in a higher yield or return to the holders of our common stock. The issuance of preferred stock would likely cause the NAV and market value of our common stock to become more volatile. If the dividend rate on the preferred stock were to approach the net rate of return on our investment portfolio, the benefit of leverage to the holders of our common stock would be reduced. If the dividend rate on the preferred stock were to exceed the net rate of return on our portfolio, the leverage would result in a lower rate of return to the holders of our common stock than if we had not issued preferred stock. Any decline in the NAV of our investments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This greater NAV decrease would also tend to cause a greater decline in the market price for our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our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our common stock and may at times have disproportionate influence over our affairs.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 xml:space="preserve">Item 6. Exhibits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0"/>
        <w:gridCol w:w="9690"/>
      </w:tblGrid>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2">
              <w:r>
                <w:rPr>
                  <w:rStyle w:val="InternetLink"/>
                  <w:rFonts w:ascii="Times New Roman;Times;Serif" w:hAnsi="Times New Roman;Times;Serif"/>
                  <w:sz w:val="20"/>
                </w:rPr>
                <w:t>Certificate of Incorporation (Incorporated by reference to Exhibit 99.A.3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sz w:val="20"/>
                </w:rPr>
                <w:t>Certificate of Amendment to the Certificate of Incorporation (Incorporated by reference to the Current Report on Form 8-K filed on July 13,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sz w:val="20"/>
                </w:rPr>
                <w:t>Certificate of Amendment to Certificate of Incorporation (Incorporated by reference to the Current Report on Form 8-K filed December 28,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5">
              <w:r>
                <w:rPr>
                  <w:rStyle w:val="InternetLink"/>
                  <w:rFonts w:ascii="Times New Roman;Times;Serif" w:hAnsi="Times New Roman;Times;Serif"/>
                  <w:sz w:val="20"/>
                </w:rPr>
                <w:t>Form of Bylaws (Incorporated by reference to Exhibit 99.B.3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sz w:val="20"/>
                </w:rPr>
                <w:t>Amendment No. 1 to Bylaws (Incorporated by reference to the Current Report on Form 8-K filed February 7,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7">
              <w:r>
                <w:rPr>
                  <w:rStyle w:val="InternetLink"/>
                  <w:rFonts w:ascii="Times New Roman;Times;Serif" w:hAnsi="Times New Roman;Times;Serif"/>
                  <w:sz w:val="20"/>
                </w:rPr>
                <w:t>Amendment No. 2 to Bylaws (Incorporated by reference to the Current Report on Form 8-K filed December 28, 2020).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sz w:val="20"/>
                </w:rPr>
                <w:t>Amendment No. 3 to the Bylaws (Incorporated by reference to the Current Report on Form 8-K filed February 16,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sz w:val="20"/>
                </w:rPr>
                <w:t>Form of Stock Certificate (Incorporated by reference to Exhibit 99.D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sz w:val="20"/>
                </w:rPr>
                <w:t>Indenture, dated February 7, 2012, between Medley Capital Corporation and U.S. Bank National Association, as Trustee (Incorporated by reference to Exhibit 99.D.2 to the Registrant’s Pre-Effective Amendment No. 1 to the Registration Statement on Form N-2 (File No. 333-179237), filed on February 13, 2012).</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sz w:val="20"/>
                </w:rPr>
                <w:t>First Supplemental Indenture, dated March 21, 2012, between Medley Capital Corporation and U.S. Bank National Association, as Trustee (Incorporated by reference to Exhibit 99.D.4 to the Registrant’s Post-Effective Amendment No. 2 to the Registration Statement on Form N-2 (File No. 333-179237), filed on March 21, 2012).</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sz w:val="20"/>
                </w:rPr>
                <w:t>Second Supplemental Indenture, dated March 18, 2013, between Medley Capital Corporation and U.S. Bank National Association, as Trustee (Incorporated by reference to Exhibit 99.D.4 to the Registrant’s Post-Effective Amendment No. 7 to the Registration Statement on Form N-2 (File No. 333-179237), filed on March 15, 2013).</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sz w:val="20"/>
                </w:rPr>
                <w:t>Third Supplemental Indenture, dated December 17, 2015, between Medley Capital Corporation and U.S. Bank National Association, as Trustee (Incorporated by reference to Exhibit 99.D.6 to the Registrant’s Post-Effective Amendment No. 11 to the Registration Statement on Form N-2 (File No. 333-187324), filed December 17, 2015).</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sz w:val="20"/>
                </w:rPr>
                <w:t>Fourth Supplemental Indenture, dated November 15, 2021, between PhenixFIN Corporation and U.S. Bank National Association, as Trustee (Incorporated by reference to the Current Report on Form 8-K filed November 15,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Description of PhenixFIN Corporation’s securities registered pursuant to Section 12 of the Securities Exchange Act of 1934 (Incorporated by reference to the Registrant’s Pre-Effective Amendment No. 1 to the Registration Statement on Form N-2 (File No. 333-258913), filed on October 15, 2021.</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Form of Custody Agreement (Incorporated by reference to Exhibit 99.J.1 to the Registrant’s Pre-effective Amendment No. 3 to the Registration Statement on Form N-2 (File No. 333-166491), filed on November 23, 2010).</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Form of Dividend Reinvestment Plan (Incorporated by reference to Exhibit 99.E to the Registrant’s Pre-effective Amendment No. 3 to the Registration Statement on Form N-2 (File No. 333-166491), filed on November 23, 2010). </w:t>
              </w:r>
            </w:hyperlink>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0"/>
        <w:gridCol w:w="9690"/>
      </w:tblGrid>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Settlement Term Sheet, dated April 15, 2019 (Incorporated by reference to the Current Report on Form 8-K, filed on April 17, 2019).</w:t>
              </w:r>
            </w:hyperlink>
          </w:p>
        </w:tc>
      </w:tr>
      <w:tr>
        <w:trPr/>
        <w:tc>
          <w:tcPr>
            <w:tcW w:w="4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r>
              <w:rPr/>
              <w:t> </w:t>
            </w:r>
          </w:p>
        </w:tc>
      </w:tr>
      <w:tr>
        <w:trPr/>
        <w:tc>
          <w:tcPr>
            <w:tcW w:w="4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both"/>
              <w:rPr/>
            </w:pPr>
            <w:r>
              <w:rPr/>
              <w:t> </w:t>
            </w:r>
          </w:p>
        </w:tc>
        <w:tc>
          <w:tcPr>
            <w:tcW w:w="9690"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Stipulation of Settlement, dated July 29, 2019, by and among Medley Capital Corporation, Brook Taube, Seth Taube, Jeff Tonkel, Mark Lerdal, Karin Hirtler-Garvey, John E. Mack, Arthur S. Ainsberg, Medley Management Inc., MCC Advisors LLC, Medley LLC and Medley Group LLC, on the one hand, and FrontFour Capital Group LLC and FrontFour Master Fund, Ltd., on behalf of themselves and a class of similarly situated stockholders of Medley Capital Corporation, on the other hand, in connection with the action styled In re Medley Capital Corporation Stockholder Litigation, Cons. C.A. No. 2019-0100-KSJM (Incorporated by reference to the Current Report on Form 8-K, filed on August 2, 2019).</w:t>
              </w:r>
            </w:hyperlink>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5"/>
        <w:gridCol w:w="90"/>
        <w:gridCol w:w="9690"/>
      </w:tblGrid>
      <w:tr>
        <w:trPr/>
        <w:tc>
          <w:tcPr>
            <w:tcW w:w="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10.5</w:t>
            </w:r>
          </w:p>
        </w:tc>
        <w:tc>
          <w:tcPr>
            <w:tcW w:w="90" w:type="dxa"/>
            <w:tcBorders/>
            <w:vAlign w:val="center"/>
          </w:tcPr>
          <w:p>
            <w:pPr>
              <w:pStyle w:val="TableContents"/>
              <w:bidi w:val="0"/>
              <w:spacing w:before="0" w:after="283"/>
              <w:jc w:val="both"/>
              <w:rPr/>
            </w:pPr>
            <w:r>
              <w:rPr/>
              <w:t> </w:t>
            </w:r>
          </w:p>
        </w:tc>
        <w:tc>
          <w:tcPr>
            <w:tcW w:w="9690" w:type="dxa"/>
            <w:tcBorders/>
            <w:vAlign w:val="center"/>
          </w:tcPr>
          <w:p>
            <w:pPr>
              <w:pStyle w:val="TableContents"/>
              <w:bidi w:val="0"/>
              <w:spacing w:before="0" w:after="283"/>
              <w:jc w:val="both"/>
              <w:rPr/>
            </w:pPr>
            <w:hyperlink r:id="rId20">
              <w:r>
                <w:rPr>
                  <w:rStyle w:val="InternetLink"/>
                  <w:rFonts w:ascii="Times New Roman;Times;Serif" w:hAnsi="Times New Roman;Times;Serif"/>
                  <w:sz w:val="20"/>
                </w:rPr>
                <w:t>Governance Agreement, dated July 29, 2019, by and among, Medley Capital Corporation, on the one hand, and FrontFour Capital Group LLC, FrontFour Master Fund, Ltd., FrontFour Capital Corp., FrontFour Opportunity Fund, David A. Lorber, Stephen E. Loukas and Zachary R. George, on the other hand (Incorporated by reference to the Current Report on Form 8-K, filed on August 2, 2019).</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
        <w:gridCol w:w="90"/>
        <w:gridCol w:w="9437"/>
      </w:tblGrid>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10.6</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Standstill Agreement, dated as of August 19, 2020, by and between the Medley Capital Corporation and Howard Amster and the other persons and entities identified therein (Incorporated by reference to the Current Report on Form 8-K filed on August 21, 2020).</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Fund Accounting Servicing Agreement, dated November 19, 2020, by and between Medley Capital Corporation and U.S. Bancorp Fund Services, LLC (Incorporated by reference to Exhibit 10.16 to the Annual Report on Form 10-K filed on December 11, 2020).</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10.8</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Administration Servicing Agreement, dated November 19, 2020, by and between Medley Capital Corporation and U.S. Bancorp Fund Services, LLC (Incorporated by reference to Exhibit 10.17 to the Annual Report on Form 10-K filed on December 11, 2020).</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PhenixFIN Long Term Cash Incentive Plan (Incorporated by reference to Exhibit 10.9 to the Quarterly Report on Form 10-Q filed on May 9,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10.10</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First Amendment to the PhenixFIN Long Term Cash Incentive Plan. (Incorporated by reference to Exhibit 10.10 to the Quarterly Report on Form 10-Q filed on February 9, 2023).</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Form of Award Agreement (Incorporated by reference to Exhibit 10.10 to the Quarterly Report on Form 10-Q filed on May 9,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10.12</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Credit Agreement, dated December 15, 2022, between PhenixFIN Corporation and Woodforest National Bank, as Administrative Agent. (Incorporated by reference to Exhibit 10.11 to the Annual Report on Form 10-K filed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10.13</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 xml:space="preserve">First Amendment to Credit Agreement and Consent, dated February 21, 2024, between PhenixFIN Corporation and Woodforest National Bank, as Administrative Agent (Incorporated by reference to Exhibit 10.13 to the Quarterly Report on Form 10-Q filed on May 10, 2024) </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10.14</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Second Amendment to Credit Agreement and Consent, dated August 5, 2024, between PhenixFIN Corporation and Woodforest National Bank, as Administrative Agent (Incorporated by reference to Exhibit 10.13 to the Annual Report on Form 10-K filed on December 17, 2024)</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10.15</w:t>
            </w:r>
          </w:p>
        </w:tc>
        <w:tc>
          <w:tcPr>
            <w:tcW w:w="90" w:type="dxa"/>
            <w:tcBorders/>
            <w:shd w:fill="CCEEFF" w:val="clear"/>
            <w:vAlign w:val="center"/>
          </w:tcPr>
          <w:p>
            <w:pPr>
              <w:pStyle w:val="TableContents"/>
              <w:bidi w:val="0"/>
              <w:spacing w:before="0" w:after="283"/>
              <w:jc w:val="both"/>
              <w:rPr>
                <w:strike w:val="false"/>
                <w:dstrike w:val="false"/>
                <w:u w:val="none"/>
                <w:effect w:val="none"/>
              </w:rPr>
            </w:pPr>
            <w:r>
              <w:rPr>
                <w:strike w:val="false"/>
                <w:dstrike w:val="false"/>
                <w:u w:val="none"/>
                <w:effect w:val="none"/>
              </w:rPr>
              <w:t> </w:t>
            </w:r>
          </w:p>
        </w:tc>
        <w:tc>
          <w:tcPr>
            <w:tcW w:w="9437"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Loan Administration and Custodial Agreement, dated September 12, 2022 by and between PhenixFIN Corp. and Computershare Trust Company, N.A. (Incorporated by reference to Exhibit 10.10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10.16</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sz w:val="20"/>
                </w:rPr>
                <w:t>Pledge and Security Agreement, dated December 15, 2022 by and between PhenixFIN Corporation and Woodforest National Bank (Incorporated by reference to Exhibit 10.12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10.17</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sz w:val="20"/>
                </w:rPr>
                <w:t>Services Agreement, dated August 9, 2022, by and between PhenixFIN Corp. and SS&amp;C Technologies, Inc. (Incorporated by reference to Exhibit 10.9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10.18</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sz w:val="20"/>
                </w:rPr>
                <w:t>Third Amendment to Credit Agreement, dated April 17, 2025, between PhenixFIN Corporation and BankUnited, N.A., as Administrative Agent. (Incorporated by reference to Exhibit 10.18 to the Quarterly Report on Form 10-Q filed on August 6, 2025)</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sz w:val="20"/>
                </w:rPr>
                <w:t>Code of Ethics &amp; Insider Trading Policy of the Registrant (Incorporated by reference to Exhibit 99.R to the Registrant’s Registration Statement on Form N-2 (File No. 333-258913), filed on August 19, 2021.</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sz w:val="20"/>
                </w:rPr>
                <w:t>List of Subsidiaries (Incorporated by reference to Exhibit 21.1 of the Quarterly Report on Form 10-Q filed on February 10,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8725901ex31-1.htm">
              <w:r>
                <w:rPr>
                  <w:rStyle w:val="InternetLink"/>
                  <w:rFonts w:ascii="Times New Roman;Times;Serif" w:hAnsi="Times New Roman;Times;Serif"/>
                  <w:sz w:val="20"/>
                </w:rPr>
                <w:t>Certification of Chief Executive Officer pursuant to Rule 13a-14 of the Securities Exchange Act of 1934, as amended.*</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8725901ex31-2.htm">
              <w:r>
                <w:rPr>
                  <w:rStyle w:val="InternetLink"/>
                  <w:rFonts w:ascii="Times New Roman;Times;Serif" w:hAnsi="Times New Roman;Times;Serif"/>
                  <w:sz w:val="20"/>
                </w:rPr>
                <w:t>Certification of Chief Financial Officer pursuant to Rule 13a-14 of the Securities Exchange Act of 1934, as amended.*</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w:anchor="ea028725901ex32-1.htm">
              <w:r>
                <w:rPr>
                  <w:rStyle w:val="InternetLink"/>
                  <w:rFonts w:ascii="Times New Roman;Times;Serif" w:hAnsi="Times New Roman;Times;Serif"/>
                  <w:sz w:val="20"/>
                </w:rPr>
                <w:t>Certification of Chief Executive Officer and Chief Financial Officer pursuant to section 906 of The Sarbanes-Oxley Act of 2002.*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90" w:type="dxa"/>
            <w:tcBorders/>
            <w:shd w:fill="CCEEFF" w:val="clear"/>
            <w:vAlign w:val="center"/>
          </w:tcPr>
          <w:p>
            <w:pPr>
              <w:pStyle w:val="TableContents"/>
              <w:bidi w:val="0"/>
              <w:spacing w:before="0" w:after="283"/>
              <w:jc w:val="both"/>
              <w:rPr/>
            </w:pPr>
            <w:r>
              <w:rPr/>
              <w:t> </w:t>
            </w:r>
          </w:p>
        </w:tc>
        <w:tc>
          <w:tcPr>
            <w:tcW w:w="9437"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sz w:val="20"/>
                </w:rPr>
                <w:t>Notice of Redemption to the Holders of the 6.125% Senior Notes due 2023, dated December 15, 2022 (Incorporated by reference to Exhibit 99.1 to the Annual Report on Form 10-K filed on December 16, 2022).</w:t>
              </w:r>
            </w:hyperlink>
          </w:p>
        </w:tc>
      </w:tr>
      <w:tr>
        <w:trPr/>
        <w:tc>
          <w:tcPr>
            <w:tcW w:w="678"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both"/>
              <w:rPr/>
            </w:pPr>
            <w:r>
              <w:rPr/>
              <w:t> </w:t>
            </w:r>
          </w:p>
        </w:tc>
        <w:tc>
          <w:tcPr>
            <w:tcW w:w="9437" w:type="dxa"/>
            <w:tcBorders/>
            <w:vAlign w:val="center"/>
          </w:tcPr>
          <w:p>
            <w:pPr>
              <w:pStyle w:val="TableContents"/>
              <w:bidi w:val="0"/>
              <w:spacing w:before="0" w:after="283"/>
              <w:jc w:val="both"/>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99.2</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sz w:val="20"/>
                </w:rPr>
                <w:t>PhenixFIN Compensation Clawback Policy and Procedures (Incorporated by reference to Exhibit 99.3 to the Annual Report on Form 10-K filed on December 22, 2023).</w:t>
              </w:r>
            </w:hyperlink>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7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37" w:type="dxa"/>
            <w:tcBorders/>
            <w:vAlign w:val="center"/>
          </w:tcPr>
          <w:p>
            <w:pPr>
              <w:pStyle w:val="TableContents"/>
              <w:bidi w:val="0"/>
              <w:spacing w:before="0" w:after="283"/>
              <w:jc w:val="left"/>
              <w:rPr/>
            </w:pPr>
            <w:r>
              <w:rPr/>
              <w:t> </w:t>
            </w:r>
          </w:p>
        </w:tc>
      </w:tr>
      <w:tr>
        <w:trPr/>
        <w:tc>
          <w:tcPr>
            <w:tcW w:w="6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4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9"/>
      <w:bookmarkEnd w:id="19"/>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1685"/>
        <w:gridCol w:w="335"/>
        <w:gridCol w:w="3710"/>
      </w:tblGrid>
      <w:tr>
        <w:trPr/>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May 5, 2026</w:t>
            </w:r>
          </w:p>
        </w:tc>
        <w:tc>
          <w:tcPr>
            <w:tcW w:w="4045" w:type="dxa"/>
            <w:gridSpan w:val="2"/>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pPr>
            <w:r>
              <w:rPr/>
              <w:t> </w:t>
            </w:r>
          </w:p>
        </w:tc>
        <w:tc>
          <w:tcPr>
            <w:tcW w:w="4045" w:type="dxa"/>
            <w:gridSpan w:val="2"/>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pPr>
            <w:r>
              <w:rPr/>
              <w:t> </w:t>
            </w:r>
          </w:p>
        </w:tc>
        <w:tc>
          <w:tcPr>
            <w:tcW w:w="404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PhenixFIN Corporation</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7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David Lorber</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Lorber</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w:t>
            </w:r>
          </w:p>
        </w:tc>
        <w:tc>
          <w:tcPr>
            <w:tcW w:w="371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Ellida McMillan</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Ellida McMillan</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685"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both"/>
              <w:rPr/>
            </w:pPr>
            <w:r>
              <w:rPr/>
              <w:t> </w:t>
            </w:r>
          </w:p>
        </w:tc>
        <w:tc>
          <w:tcPr>
            <w:tcW w:w="3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Accounting and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8725901ex31-1.htm"/>
      <w:bookmarkStart w:id="21" w:name="ksea028725901ex311"/>
      <w:bookmarkEnd w:id="20"/>
      <w:bookmarkEnd w:id="21"/>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Periodic Report Pursuant to Rule 13a-14(a) and Rule 15d-14(a)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Lorber, certify that:</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1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283"/>
              <w:jc w:val="both"/>
              <w:rPr/>
            </w:pPr>
            <w:r>
              <w:rPr/>
              <w:t>I have reviewed this Quarterly Report on Form 10-Q of PhenixFIN Corporation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 (e))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a)</w:t>
            </w:r>
          </w:p>
        </w:tc>
        <w:tc>
          <w:tcPr>
            <w:tcW w:w="10020"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2026</w:t>
      </w:r>
    </w:p>
    <w:p>
      <w:pPr>
        <w:pStyle w:val="TextBody"/>
        <w:bidi w:val="0"/>
        <w:spacing w:before="0" w:after="0"/>
        <w:ind w:left="0" w:right="0" w:hanging="0"/>
        <w:jc w:val="left"/>
        <w:rPr>
          <w:caps w:val="false"/>
          <w:smallCaps w:val="false"/>
        </w:rPr>
      </w:pPr>
      <w:r>
        <w:rPr>
          <w:caps w:val="false"/>
          <w:smallCaps w:val="false"/>
        </w:rPr>
        <w:t> </w:t>
      </w:r>
    </w:p>
    <w:tbl>
      <w:tblPr>
        <w:tblW w:w="2840" w:type="dxa"/>
        <w:jc w:val="left"/>
        <w:tblInd w:w="0" w:type="dxa"/>
        <w:tblLayout w:type="fixed"/>
        <w:tblCellMar>
          <w:top w:w="0" w:type="dxa"/>
          <w:left w:w="0" w:type="dxa"/>
          <w:bottom w:w="28" w:type="dxa"/>
          <w:right w:w="0" w:type="dxa"/>
        </w:tblCellMar>
      </w:tblPr>
      <w:tblGrid>
        <w:gridCol w:w="2765"/>
        <w:gridCol w:w="75"/>
      </w:tblGrid>
      <w:tr>
        <w:trPr/>
        <w:tc>
          <w:tcPr>
            <w:tcW w:w="2765" w:type="dxa"/>
            <w:tcBorders>
              <w:bottom w:val="single" w:sz="12" w:space="0" w:color="000000"/>
            </w:tcBorders>
            <w:vAlign w:val="center"/>
          </w:tcPr>
          <w:p>
            <w:pPr>
              <w:pStyle w:val="TableContents"/>
              <w:bidi w:val="0"/>
              <w:spacing w:before="0" w:after="283"/>
              <w:jc w:val="left"/>
              <w:rPr/>
            </w:pPr>
            <w:r>
              <w:rPr/>
              <w:t>/s/ David Lorber</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283"/>
              <w:jc w:val="left"/>
              <w:rPr/>
            </w:pPr>
            <w:r>
              <w:rPr/>
              <w:t>David Lorber</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283"/>
              <w:jc w:val="left"/>
              <w:rPr/>
            </w:pPr>
            <w:r>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765" w:type="dxa"/>
            <w:tcBorders/>
            <w:tcMar>
              <w:bottom w:w="0" w:type="dxa"/>
            </w:tcMar>
            <w:vAlign w:val="center"/>
          </w:tcPr>
          <w:p>
            <w:pPr>
              <w:pStyle w:val="TableContents"/>
              <w:bidi w:val="0"/>
              <w:spacing w:before="0" w:after="283"/>
              <w:jc w:val="left"/>
              <w:rPr/>
            </w:pPr>
            <w:r>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8725901ex31-2.htm"/>
      <w:bookmarkStart w:id="23" w:name="ksea028725901ex312"/>
      <w:bookmarkEnd w:id="22"/>
      <w:bookmarkEnd w:id="23"/>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Periodic Report Pursuant to Rule 13a-14(a) and Rule 15d-14(a)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Ellida McMillan, certify that:</w:t>
      </w:r>
    </w:p>
    <w:p>
      <w:pPr>
        <w:pStyle w:val="TextBody"/>
        <w:bidi w:val="0"/>
        <w:spacing w:before="0" w:after="0"/>
        <w:ind w:left="0" w:right="0" w:hanging="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1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1)</w:t>
            </w:r>
          </w:p>
        </w:tc>
        <w:tc>
          <w:tcPr>
            <w:tcW w:w="9350" w:type="dxa"/>
            <w:tcBorders/>
            <w:vAlign w:val="center"/>
          </w:tcPr>
          <w:p>
            <w:pPr>
              <w:pStyle w:val="TableContents"/>
              <w:bidi w:val="0"/>
              <w:spacing w:before="0" w:after="283"/>
              <w:jc w:val="both"/>
              <w:rPr/>
            </w:pPr>
            <w:r>
              <w:rPr/>
              <w:t>I have reviewed this Quarterly Report on Form 10-Q of PhenixFIN Corporation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pPr>
            <w:r>
              <w:rPr/>
              <w:t>2)</w:t>
            </w:r>
          </w:p>
        </w:tc>
        <w:tc>
          <w:tcPr>
            <w:tcW w:w="10003"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5"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 (e))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a)</w:t>
            </w:r>
          </w:p>
        </w:tc>
        <w:tc>
          <w:tcPr>
            <w:tcW w:w="10020"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7" w:type="dxa"/>
            <w:tcBorders/>
            <w:vAlign w:val="center"/>
          </w:tcPr>
          <w:p>
            <w:pPr>
              <w:pStyle w:val="TableContents"/>
              <w:bidi w:val="0"/>
              <w:spacing w:before="0" w:after="283"/>
              <w:jc w:val="both"/>
              <w:rPr/>
            </w:pPr>
            <w:r>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5, 2026</w:t>
      </w:r>
    </w:p>
    <w:p>
      <w:pPr>
        <w:pStyle w:val="TextBody"/>
        <w:bidi w:val="0"/>
        <w:spacing w:before="0" w:after="0"/>
        <w:ind w:left="0" w:right="0" w:hanging="0"/>
        <w:jc w:val="left"/>
        <w:rPr>
          <w:caps w:val="false"/>
          <w:smallCaps w:val="false"/>
        </w:rPr>
      </w:pPr>
      <w:r>
        <w:rPr>
          <w:caps w:val="false"/>
          <w:smallCaps w:val="false"/>
        </w:rPr>
        <w:t> </w:t>
      </w:r>
    </w:p>
    <w:tbl>
      <w:tblPr>
        <w:tblW w:w="2765" w:type="dxa"/>
        <w:jc w:val="left"/>
        <w:tblInd w:w="0" w:type="dxa"/>
        <w:tblLayout w:type="fixed"/>
        <w:tblCellMar>
          <w:top w:w="0" w:type="dxa"/>
          <w:left w:w="0" w:type="dxa"/>
          <w:bottom w:w="28" w:type="dxa"/>
          <w:right w:w="0" w:type="dxa"/>
        </w:tblCellMar>
      </w:tblPr>
      <w:tblGrid>
        <w:gridCol w:w="2690"/>
        <w:gridCol w:w="75"/>
      </w:tblGrid>
      <w:tr>
        <w:trPr/>
        <w:tc>
          <w:tcPr>
            <w:tcW w:w="2690" w:type="dxa"/>
            <w:tcBorders>
              <w:bottom w:val="single" w:sz="12" w:space="0" w:color="000000"/>
            </w:tcBorders>
            <w:vAlign w:val="center"/>
          </w:tcPr>
          <w:p>
            <w:pPr>
              <w:pStyle w:val="TableContents"/>
              <w:bidi w:val="0"/>
              <w:spacing w:before="0" w:after="283"/>
              <w:jc w:val="left"/>
              <w:rPr/>
            </w:pPr>
            <w:r>
              <w:rPr/>
              <w:t>/s/ Ellida McMillan</w:t>
            </w:r>
          </w:p>
        </w:tc>
        <w:tc>
          <w:tcPr>
            <w:tcW w:w="75" w:type="dxa"/>
            <w:tcBorders/>
            <w:tcMar>
              <w:bottom w:w="0" w:type="dxa"/>
            </w:tcMar>
            <w:vAlign w:val="center"/>
          </w:tcPr>
          <w:p>
            <w:pPr>
              <w:pStyle w:val="TableContents"/>
              <w:bidi w:val="0"/>
              <w:spacing w:before="0" w:after="283"/>
              <w:jc w:val="left"/>
              <w:rPr/>
            </w:pPr>
            <w:r>
              <w:rPr/>
              <w:t> </w:t>
            </w:r>
          </w:p>
        </w:tc>
      </w:tr>
      <w:tr>
        <w:trPr/>
        <w:tc>
          <w:tcPr>
            <w:tcW w:w="2690" w:type="dxa"/>
            <w:tcBorders/>
            <w:tcMar>
              <w:bottom w:w="0" w:type="dxa"/>
            </w:tcMar>
            <w:vAlign w:val="center"/>
          </w:tcPr>
          <w:p>
            <w:pPr>
              <w:pStyle w:val="TableContents"/>
              <w:bidi w:val="0"/>
              <w:spacing w:before="0" w:after="283"/>
              <w:jc w:val="left"/>
              <w:rPr/>
            </w:pPr>
            <w:r>
              <w:rPr/>
              <w:t>Ellida McMillan</w:t>
            </w:r>
          </w:p>
        </w:tc>
        <w:tc>
          <w:tcPr>
            <w:tcW w:w="75" w:type="dxa"/>
            <w:tcBorders/>
            <w:tcMar>
              <w:bottom w:w="0" w:type="dxa"/>
            </w:tcMar>
            <w:vAlign w:val="center"/>
          </w:tcPr>
          <w:p>
            <w:pPr>
              <w:pStyle w:val="TableContents"/>
              <w:bidi w:val="0"/>
              <w:spacing w:before="0" w:after="283"/>
              <w:jc w:val="left"/>
              <w:rPr/>
            </w:pPr>
            <w:r>
              <w:rPr/>
              <w:t> </w:t>
            </w:r>
          </w:p>
        </w:tc>
      </w:tr>
      <w:tr>
        <w:trPr/>
        <w:tc>
          <w:tcPr>
            <w:tcW w:w="2690" w:type="dxa"/>
            <w:tcBorders/>
            <w:tcMar>
              <w:bottom w:w="0" w:type="dxa"/>
            </w:tcMar>
            <w:vAlign w:val="center"/>
          </w:tcPr>
          <w:p>
            <w:pPr>
              <w:pStyle w:val="TableContents"/>
              <w:bidi w:val="0"/>
              <w:spacing w:before="0" w:after="283"/>
              <w:jc w:val="left"/>
              <w:rPr/>
            </w:pPr>
            <w:r>
              <w:rPr/>
              <w:t>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2690" w:type="dxa"/>
            <w:tcBorders/>
            <w:tcMar>
              <w:bottom w:w="0" w:type="dxa"/>
            </w:tcMar>
            <w:vAlign w:val="center"/>
          </w:tcPr>
          <w:p>
            <w:pPr>
              <w:pStyle w:val="TableContents"/>
              <w:bidi w:val="0"/>
              <w:spacing w:before="0" w:after="283"/>
              <w:jc w:val="left"/>
              <w:rPr/>
            </w:pPr>
            <w:r>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8725901ex32-1.htm"/>
      <w:bookmarkStart w:id="25" w:name="ksea028725901ex321"/>
      <w:bookmarkEnd w:id="24"/>
      <w:bookmarkEnd w:id="25"/>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PhenixFIN Corporation (the “Company”) for the quarterly period ended March 31, 2026, as filed with the Securities and Exchange Commission on the date hereof (the “Report”), we, David Lorber and Ellida McMillan, Chief Executive Officer and Chief Financial Officer, respectively, of the Company, certify, pursuant to 18 U.S.C. Section 1350, as adopted pursuant to Section 906 of the Sarbanes-Oxley Act of 2002, that to our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 as of the dates and for the periods expressed in the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5, 2026</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380"/>
        <w:gridCol w:w="2225"/>
        <w:gridCol w:w="75"/>
      </w:tblGrid>
      <w:tr>
        <w:trPr/>
        <w:tc>
          <w:tcPr>
            <w:tcW w:w="38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David Lorber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David Lorber</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i/>
              </w:rPr>
            </w:pPr>
            <w:r>
              <w:rPr>
                <w:i/>
              </w:rPr>
              <w:t>Chief Executive Officer</w:t>
            </w:r>
          </w:p>
        </w:tc>
        <w:tc>
          <w:tcPr>
            <w:tcW w:w="75" w:type="dxa"/>
            <w:tcBorders/>
            <w:vAlign w:val="center"/>
          </w:tcPr>
          <w:p>
            <w:pPr>
              <w:pStyle w:val="TableContents"/>
              <w:bidi w:val="0"/>
              <w:spacing w:before="0" w:after="283"/>
              <w:jc w:val="left"/>
              <w:rPr/>
            </w:pPr>
            <w:r>
              <w:rPr/>
              <w:t> </w:t>
            </w:r>
          </w:p>
        </w:tc>
      </w:tr>
      <w:tr>
        <w:trPr/>
        <w:tc>
          <w:tcPr>
            <w:tcW w:w="26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Ellida McMillan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Ellida McMillan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i/>
              </w:rPr>
            </w:pPr>
            <w:r>
              <w:rPr>
                <w:i/>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90349/000095012310107938/y03423a3exv99waw3.htm" TargetMode="External"/><Relationship Id="rId3" Type="http://schemas.openxmlformats.org/officeDocument/2006/relationships/hyperlink" Target="http://www.sec.gov/Archives/edgar/data/1490349/000149034920000024/certificateofamendmenttoth.htm" TargetMode="External"/><Relationship Id="rId4" Type="http://schemas.openxmlformats.org/officeDocument/2006/relationships/hyperlink" Target="http://www.sec.gov/Archives/edgar/data/1490349/000114036120029619/brhc10018424_ex3-1.htm" TargetMode="External"/><Relationship Id="rId5" Type="http://schemas.openxmlformats.org/officeDocument/2006/relationships/hyperlink" Target="http://www.sec.gov/Archives/edgar/data/1490349/000095012310107938/y03423a3exv99wbw3.htm" TargetMode="External"/><Relationship Id="rId6" Type="http://schemas.openxmlformats.org/officeDocument/2006/relationships/hyperlink" Target="http://www.sec.gov/Archives/edgar/data/1490349/000121390019001840/f8k020619ex3-1_medleycap.htm" TargetMode="External"/><Relationship Id="rId7" Type="http://schemas.openxmlformats.org/officeDocument/2006/relationships/hyperlink" Target="http://www.sec.gov/Archives/edgar/data/1490349/000114036120029619/brhc10018424_ex3-2.htm" TargetMode="External"/><Relationship Id="rId8" Type="http://schemas.openxmlformats.org/officeDocument/2006/relationships/hyperlink" Target="http://www.sec.gov/Archives/edgar/data/1490349/000121390021009276/ea135650ex3-1_phenixfin.htm" TargetMode="External"/><Relationship Id="rId9" Type="http://schemas.openxmlformats.org/officeDocument/2006/relationships/hyperlink" Target="http://www.sec.gov/Archives/edgar/data/1490349/000095012310107938/y03423a3exv99wd.htm" TargetMode="External"/><Relationship Id="rId10" Type="http://schemas.openxmlformats.org/officeDocument/2006/relationships/hyperlink" Target="http://www.sec.gov/Archives/edgar/data/1490349/000114420412007378/v301790_ex99-d2.htm" TargetMode="External"/><Relationship Id="rId11" Type="http://schemas.openxmlformats.org/officeDocument/2006/relationships/hyperlink" Target="http://www.sec.gov/Archives/edgar/data/1490349/000114420412016412/v306680_ex99-d4.htm" TargetMode="External"/><Relationship Id="rId12" Type="http://schemas.openxmlformats.org/officeDocument/2006/relationships/hyperlink" Target="http://www.sec.gov/Archives/edgar/data/1490349/000114420413015507/v338116_ex99d4.htm" TargetMode="External"/><Relationship Id="rId13" Type="http://schemas.openxmlformats.org/officeDocument/2006/relationships/hyperlink" Target="http://www.sec.gov/Archives/edgar/data/1490349/000114420415071552/v427305_ex-d6.htm" TargetMode="External"/><Relationship Id="rId14" Type="http://schemas.openxmlformats.org/officeDocument/2006/relationships/hyperlink" Target="http://www.sec.gov/Archives/edgar/data/1490349/000121390021059528/s134346_ex4-1.htm" TargetMode="External"/><Relationship Id="rId15" Type="http://schemas.openxmlformats.org/officeDocument/2006/relationships/hyperlink" Target="http://www.sec.gov/Archives/edgar/data/1490349/000121390021053038/s133946-n2a.htm" TargetMode="External"/><Relationship Id="rId16" Type="http://schemas.openxmlformats.org/officeDocument/2006/relationships/hyperlink" Target="http://www.sec.gov/Archives/edgar/data/1490349/000095012310107938/y03423a3exv99wjw1.htm" TargetMode="External"/><Relationship Id="rId17" Type="http://schemas.openxmlformats.org/officeDocument/2006/relationships/hyperlink" Target="http://www.sec.gov/Archives/edgar/data/1490349/000095012310107938/y03423a3exv99we.htm" TargetMode="External"/><Relationship Id="rId18" Type="http://schemas.openxmlformats.org/officeDocument/2006/relationships/hyperlink" Target="http://www.sec.gov/Archives/edgar/data/1490349/000121390019006590/f8k041519aex10-1_mcc.htm" TargetMode="External"/><Relationship Id="rId19" Type="http://schemas.openxmlformats.org/officeDocument/2006/relationships/hyperlink" Target="http://www.sec.gov/Archives/edgar/data/1490349/000121390019014500/f8k072919ex10-1_medleycap.htm" TargetMode="External"/><Relationship Id="rId20" Type="http://schemas.openxmlformats.org/officeDocument/2006/relationships/hyperlink" Target="http://www.sec.gov/Archives/edgar/data/1490349/000121390019014500/f8k072919ex10-2_medleycap.htm" TargetMode="External"/><Relationship Id="rId21" Type="http://schemas.openxmlformats.org/officeDocument/2006/relationships/hyperlink" Target="http://www.sec.gov/Archives/edgar/data/1490349/000149034920000034/a101standstillagreement.htm" TargetMode="External"/><Relationship Id="rId22" Type="http://schemas.openxmlformats.org/officeDocument/2006/relationships/hyperlink" Target="http://www.sec.gov/Archives/edgar/data/1490349/000149034920000056/exhibit1016.htm" TargetMode="External"/><Relationship Id="rId23" Type="http://schemas.openxmlformats.org/officeDocument/2006/relationships/hyperlink" Target="http://www.sec.gov/Archives/edgar/data/1490349/000149034920000056/exhibit1017.htm" TargetMode="External"/><Relationship Id="rId24" Type="http://schemas.openxmlformats.org/officeDocument/2006/relationships/hyperlink" Target="http://www.sec.gov/Archives/edgar/data/1490349/000121390022024963/f10q0322ex10-9_phenixfin.htm" TargetMode="External"/><Relationship Id="rId25" Type="http://schemas.openxmlformats.org/officeDocument/2006/relationships/hyperlink" Target="http://www.sec.gov/Archives/edgar/data/1490349/000121390023009500/f10q1222ex10-10_phenixfin.htm" TargetMode="External"/><Relationship Id="rId26" Type="http://schemas.openxmlformats.org/officeDocument/2006/relationships/hyperlink" Target="http://www.sec.gov/Archives/edgar/data/1490349/000121390022024963/f10q0322ex10-10_phenixfin.htm" TargetMode="External"/><Relationship Id="rId27" Type="http://schemas.openxmlformats.org/officeDocument/2006/relationships/hyperlink" Target="http://www.sec.gov/Archives/edgar/data/1490349/000121390022080281/f10k2022ex10-11_phenixfin.htm" TargetMode="External"/><Relationship Id="rId28" Type="http://schemas.openxmlformats.org/officeDocument/2006/relationships/hyperlink" Target="http://www.sec.gov/Archives/edgar/data/1490349/000121390024041496/ea020519601ex10-13_phenixfin.htm" TargetMode="External"/><Relationship Id="rId29" Type="http://schemas.openxmlformats.org/officeDocument/2006/relationships/hyperlink" Target="https://www.sec.gov/Archives/edgar/data/1490349/000121390024109444/ea022280401ex10-13_phenix.htm" TargetMode="External"/><Relationship Id="rId30" Type="http://schemas.openxmlformats.org/officeDocument/2006/relationships/hyperlink" Target="https://www.sec.gov/Archives/edgar/data/1490349/000121390022080281/f10k2022ex10-10_phenixfin.htm" TargetMode="External"/><Relationship Id="rId31" Type="http://schemas.openxmlformats.org/officeDocument/2006/relationships/hyperlink" Target="https://www.sec.gov/Archives/edgar/data/1490349/000121390022080281/f10k2022ex10-12_phenixfin.htm" TargetMode="External"/><Relationship Id="rId32" Type="http://schemas.openxmlformats.org/officeDocument/2006/relationships/hyperlink" Target="http://www.sec.gov/Archives/edgar/data/1490349/000121390022080281/f10k2022ex10-9_phenixfin.htm" TargetMode="External"/><Relationship Id="rId33" Type="http://schemas.openxmlformats.org/officeDocument/2006/relationships/hyperlink" Target="https://www.sec.gov/Archives/edgar/data/1490349/000121390025072562/ea025001201ex10-18_phenixfin.htm" TargetMode="External"/><Relationship Id="rId34" Type="http://schemas.openxmlformats.org/officeDocument/2006/relationships/hyperlink" Target="http://www.sec.gov/Archives/edgar/data/1490349/000121390021043694/ea145260ex99r_phenixfincorp.htm" TargetMode="External"/><Relationship Id="rId35" Type="http://schemas.openxmlformats.org/officeDocument/2006/relationships/hyperlink" Target="http://www.sec.gov/Archives/edgar/data/1490349/000121390022006415/f10q1221ex21-1_phenixfin.htm" TargetMode="External"/><Relationship Id="rId36" Type="http://schemas.openxmlformats.org/officeDocument/2006/relationships/hyperlink" Target="https://www.sec.gov/Archives/edgar/data/1490349/000121390022080281/f10k2022ex99-1_phenixfin.htm" TargetMode="External"/><Relationship Id="rId37" Type="http://schemas.openxmlformats.org/officeDocument/2006/relationships/hyperlink" Target="https://www.sec.gov/Archives/edgar/data/1490349/000121390023098182/f10k2023ex99-3_phenixfin.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35770</Words>
  <Characters>195530</Characters>
  <CharactersWithSpaces>237621</CharactersWithSpaces>
  <Paragraphs>17010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